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B2" w:rsidRPr="00B1583B" w:rsidRDefault="008232B2" w:rsidP="008232B2">
      <w:pPr>
        <w:spacing w:after="120" w:line="240" w:lineRule="auto"/>
        <w:ind w:left="-851"/>
        <w:rPr>
          <w:rFonts w:ascii="Arial" w:eastAsia="Times New Roman" w:hAnsi="Arial" w:cs="Arial"/>
          <w:b/>
          <w:i/>
          <w:sz w:val="20"/>
          <w:szCs w:val="20"/>
        </w:rPr>
      </w:pPr>
      <w:r w:rsidRPr="00B1583B">
        <w:rPr>
          <w:rFonts w:ascii="Arial" w:eastAsia="Times New Roman" w:hAnsi="Arial" w:cs="Arial"/>
          <w:b/>
          <w:i/>
          <w:sz w:val="20"/>
          <w:szCs w:val="20"/>
        </w:rPr>
        <w:t>Фамилия переводчика ________________</w:t>
      </w:r>
    </w:p>
    <w:p w:rsidR="008232B2" w:rsidRPr="00B1583B" w:rsidRDefault="008232B2" w:rsidP="008232B2">
      <w:pPr>
        <w:spacing w:after="120" w:line="240" w:lineRule="auto"/>
        <w:ind w:left="-851"/>
        <w:rPr>
          <w:rFonts w:ascii="Arial" w:eastAsia="Times New Roman" w:hAnsi="Arial" w:cs="Arial"/>
          <w:b/>
          <w:i/>
          <w:sz w:val="20"/>
          <w:szCs w:val="20"/>
        </w:rPr>
      </w:pPr>
      <w:r w:rsidRPr="00B1583B">
        <w:rPr>
          <w:rFonts w:ascii="Arial" w:eastAsia="Times New Roman" w:hAnsi="Arial" w:cs="Arial"/>
          <w:b/>
          <w:i/>
          <w:sz w:val="20"/>
          <w:szCs w:val="20"/>
        </w:rPr>
        <w:t xml:space="preserve">Направление перевода:  </w:t>
      </w:r>
      <w:r w:rsidRPr="00AC1058">
        <w:rPr>
          <w:rFonts w:ascii="Arial" w:eastAsia="Times New Roman" w:hAnsi="Arial" w:cs="Arial"/>
          <w:i/>
          <w:sz w:val="20"/>
          <w:szCs w:val="20"/>
        </w:rPr>
        <w:t>Английский</w:t>
      </w:r>
      <w:r>
        <w:rPr>
          <w:rFonts w:ascii="Arial" w:eastAsia="Times New Roman" w:hAnsi="Arial" w:cs="Arial"/>
          <w:i/>
          <w:sz w:val="20"/>
          <w:szCs w:val="20"/>
        </w:rPr>
        <w:t xml:space="preserve"> -&gt; </w:t>
      </w:r>
      <w:r w:rsidRPr="00AC1058">
        <w:rPr>
          <w:rFonts w:ascii="Arial" w:eastAsia="Times New Roman" w:hAnsi="Arial" w:cs="Arial"/>
          <w:i/>
          <w:sz w:val="20"/>
          <w:szCs w:val="20"/>
        </w:rPr>
        <w:t>Рус</w:t>
      </w:r>
      <w:r w:rsidRPr="00B1583B">
        <w:rPr>
          <w:rFonts w:ascii="Arial" w:eastAsia="Times New Roman" w:hAnsi="Arial" w:cs="Arial"/>
          <w:i/>
          <w:sz w:val="20"/>
          <w:szCs w:val="20"/>
        </w:rPr>
        <w:t>ский</w:t>
      </w:r>
    </w:p>
    <w:p w:rsidR="008232B2" w:rsidRPr="008232B2" w:rsidRDefault="008232B2" w:rsidP="008232B2">
      <w:pPr>
        <w:widowControl w:val="0"/>
        <w:spacing w:after="120" w:line="240" w:lineRule="auto"/>
        <w:ind w:left="-851"/>
        <w:rPr>
          <w:rFonts w:ascii="Arial" w:eastAsia="Times New Roman" w:hAnsi="Arial" w:cs="Arial"/>
          <w:i/>
          <w:sz w:val="20"/>
          <w:szCs w:val="20"/>
        </w:rPr>
      </w:pPr>
      <w:r w:rsidRPr="00B1583B">
        <w:rPr>
          <w:rFonts w:ascii="Arial" w:eastAsia="Times New Roman" w:hAnsi="Arial" w:cs="Arial"/>
          <w:b/>
          <w:i/>
          <w:sz w:val="20"/>
          <w:szCs w:val="20"/>
        </w:rPr>
        <w:t xml:space="preserve">Предметная область: </w:t>
      </w:r>
      <w:bookmarkStart w:id="0" w:name="_GoBack"/>
      <w:bookmarkEnd w:id="0"/>
      <w:r w:rsidR="00AC1058">
        <w:rPr>
          <w:rFonts w:ascii="Arial" w:eastAsia="Times New Roman" w:hAnsi="Arial" w:cs="Arial"/>
          <w:i/>
          <w:sz w:val="20"/>
          <w:szCs w:val="20"/>
          <w:lang w:val="en-US"/>
        </w:rPr>
        <w:t>Общая г</w:t>
      </w:r>
      <w:r w:rsidRPr="008232B2">
        <w:rPr>
          <w:rFonts w:ascii="Arial" w:eastAsia="Times New Roman" w:hAnsi="Arial" w:cs="Arial"/>
          <w:i/>
          <w:sz w:val="20"/>
          <w:szCs w:val="20"/>
        </w:rPr>
        <w:t>еология</w:t>
      </w:r>
    </w:p>
    <w:p w:rsidR="008232B2" w:rsidRPr="00B1583B" w:rsidRDefault="008232B2" w:rsidP="008232B2">
      <w:pPr>
        <w:spacing w:after="120" w:line="240" w:lineRule="auto"/>
        <w:ind w:left="-851"/>
        <w:rPr>
          <w:rFonts w:ascii="Arial" w:eastAsia="Times New Roman" w:hAnsi="Arial" w:cs="Arial"/>
          <w:sz w:val="20"/>
          <w:szCs w:val="20"/>
        </w:rPr>
      </w:pPr>
    </w:p>
    <w:p w:rsidR="008232B2" w:rsidRPr="00B1583B" w:rsidRDefault="008232B2" w:rsidP="008232B2">
      <w:pPr>
        <w:spacing w:after="120" w:line="240" w:lineRule="auto"/>
        <w:ind w:left="-851"/>
        <w:rPr>
          <w:rFonts w:ascii="Arial" w:eastAsia="Times New Roman" w:hAnsi="Arial" w:cs="Arial"/>
          <w:i/>
          <w:sz w:val="20"/>
          <w:szCs w:val="20"/>
        </w:rPr>
      </w:pPr>
      <w:r w:rsidRPr="00B1583B">
        <w:rPr>
          <w:rFonts w:ascii="Arial" w:eastAsia="Times New Roman" w:hAnsi="Arial" w:cs="Arial"/>
          <w:b/>
          <w:i/>
          <w:sz w:val="20"/>
          <w:szCs w:val="20"/>
        </w:rPr>
        <w:t>Примечание 1:</w:t>
      </w:r>
      <w:r w:rsidRPr="00B1583B">
        <w:rPr>
          <w:rFonts w:ascii="Arial" w:eastAsia="Times New Roman" w:hAnsi="Arial" w:cs="Arial"/>
          <w:i/>
          <w:sz w:val="20"/>
          <w:szCs w:val="20"/>
        </w:rPr>
        <w:t xml:space="preserve"> Необходимо сделать перевод приведенного ниже фрагмента текста. </w:t>
      </w:r>
    </w:p>
    <w:p w:rsidR="008232B2" w:rsidRPr="00B1583B" w:rsidRDefault="008232B2" w:rsidP="008232B2">
      <w:pPr>
        <w:spacing w:after="120" w:line="240" w:lineRule="auto"/>
        <w:ind w:left="-851"/>
        <w:rPr>
          <w:rFonts w:ascii="Arial" w:eastAsia="Times New Roman" w:hAnsi="Arial" w:cs="Arial"/>
          <w:i/>
          <w:sz w:val="20"/>
          <w:szCs w:val="20"/>
        </w:rPr>
      </w:pPr>
      <w:r w:rsidRPr="00B1583B">
        <w:rPr>
          <w:rFonts w:ascii="Arial" w:eastAsia="Times New Roman" w:hAnsi="Arial" w:cs="Arial"/>
          <w:b/>
          <w:i/>
          <w:sz w:val="20"/>
          <w:szCs w:val="20"/>
        </w:rPr>
        <w:t>Примечание 2:</w:t>
      </w:r>
      <w:r w:rsidRPr="00B1583B">
        <w:rPr>
          <w:rFonts w:ascii="Arial" w:eastAsia="Times New Roman" w:hAnsi="Arial" w:cs="Arial"/>
          <w:i/>
          <w:sz w:val="20"/>
          <w:szCs w:val="20"/>
        </w:rPr>
        <w:t xml:space="preserve"> Перевод текста размещается </w:t>
      </w:r>
      <w:r>
        <w:rPr>
          <w:rFonts w:ascii="Arial" w:eastAsia="Times New Roman" w:hAnsi="Arial" w:cs="Arial"/>
          <w:i/>
          <w:sz w:val="20"/>
          <w:szCs w:val="20"/>
        </w:rPr>
        <w:t>в ячейках таблицы справа от</w:t>
      </w:r>
      <w:r w:rsidRPr="00B1583B">
        <w:rPr>
          <w:rFonts w:ascii="Arial" w:eastAsia="Times New Roman" w:hAnsi="Arial" w:cs="Arial"/>
          <w:i/>
          <w:sz w:val="20"/>
          <w:szCs w:val="20"/>
        </w:rPr>
        <w:t xml:space="preserve"> оригинал</w:t>
      </w:r>
      <w:r>
        <w:rPr>
          <w:rFonts w:ascii="Arial" w:eastAsia="Times New Roman" w:hAnsi="Arial" w:cs="Arial"/>
          <w:i/>
          <w:sz w:val="20"/>
          <w:szCs w:val="20"/>
        </w:rPr>
        <w:t>а</w:t>
      </w:r>
      <w:r w:rsidRPr="00B1583B">
        <w:rPr>
          <w:rFonts w:ascii="Arial" w:eastAsia="Times New Roman" w:hAnsi="Arial" w:cs="Arial"/>
          <w:i/>
          <w:sz w:val="20"/>
          <w:szCs w:val="20"/>
        </w:rPr>
        <w:t>.</w:t>
      </w:r>
    </w:p>
    <w:p w:rsidR="008232B2" w:rsidRPr="00056E5F" w:rsidRDefault="008232B2" w:rsidP="008232B2">
      <w:pPr>
        <w:spacing w:after="120" w:line="240" w:lineRule="auto"/>
        <w:rPr>
          <w:rFonts w:ascii="Arial" w:hAnsi="Arial" w:cs="Arial"/>
          <w:sz w:val="20"/>
          <w:szCs w:val="20"/>
        </w:rPr>
      </w:pPr>
    </w:p>
    <w:tbl>
      <w:tblPr>
        <w:tblStyle w:val="a3"/>
        <w:tblW w:w="0" w:type="auto"/>
        <w:tblInd w:w="-743" w:type="dxa"/>
        <w:tblLook w:val="04A0" w:firstRow="1" w:lastRow="0" w:firstColumn="1" w:lastColumn="0" w:noHBand="0" w:noVBand="1"/>
      </w:tblPr>
      <w:tblGrid>
        <w:gridCol w:w="5035"/>
        <w:gridCol w:w="4950"/>
      </w:tblGrid>
      <w:tr w:rsidR="008232B2" w:rsidRPr="00B1583B" w:rsidTr="00EA20A1">
        <w:tc>
          <w:tcPr>
            <w:tcW w:w="5035" w:type="dxa"/>
          </w:tcPr>
          <w:p w:rsidR="008232B2" w:rsidRPr="00B1583B" w:rsidRDefault="008232B2" w:rsidP="00EA20A1">
            <w:pPr>
              <w:spacing w:after="120"/>
              <w:rPr>
                <w:rFonts w:ascii="Arial" w:hAnsi="Arial" w:cs="Arial"/>
                <w:sz w:val="20"/>
                <w:szCs w:val="20"/>
                <w:lang w:val="en-US"/>
              </w:rPr>
            </w:pPr>
            <w:r>
              <w:rPr>
                <w:rFonts w:ascii="Arial" w:hAnsi="Arial" w:cs="Arial"/>
                <w:sz w:val="20"/>
                <w:szCs w:val="20"/>
                <w:lang w:val="en-US"/>
              </w:rPr>
              <w:t>RU</w:t>
            </w:r>
          </w:p>
        </w:tc>
        <w:tc>
          <w:tcPr>
            <w:tcW w:w="4950" w:type="dxa"/>
          </w:tcPr>
          <w:p w:rsidR="008232B2" w:rsidRPr="00B1583B" w:rsidRDefault="008232B2" w:rsidP="00EA20A1">
            <w:pPr>
              <w:spacing w:after="120"/>
              <w:rPr>
                <w:rFonts w:ascii="Arial" w:hAnsi="Arial" w:cs="Arial"/>
                <w:sz w:val="20"/>
                <w:szCs w:val="20"/>
                <w:lang w:val="en-US"/>
              </w:rPr>
            </w:pPr>
            <w:r>
              <w:rPr>
                <w:rFonts w:ascii="Arial" w:hAnsi="Arial" w:cs="Arial"/>
                <w:sz w:val="20"/>
                <w:szCs w:val="20"/>
                <w:lang w:val="en-US"/>
              </w:rPr>
              <w:t>EN</w:t>
            </w:r>
          </w:p>
        </w:tc>
      </w:tr>
      <w:tr w:rsidR="008232B2" w:rsidRPr="00AC1058" w:rsidTr="00EA20A1">
        <w:tc>
          <w:tcPr>
            <w:tcW w:w="5035" w:type="dxa"/>
          </w:tcPr>
          <w:p w:rsidR="008232B2" w:rsidRPr="00AC1058" w:rsidRDefault="008232B2" w:rsidP="008232B2">
            <w:pPr>
              <w:pStyle w:val="a4"/>
              <w:autoSpaceDE w:val="0"/>
              <w:autoSpaceDN w:val="0"/>
              <w:adjustRightInd w:val="0"/>
              <w:ind w:left="34"/>
              <w:jc w:val="left"/>
              <w:rPr>
                <w:rFonts w:asciiTheme="minorHAnsi" w:eastAsiaTheme="minorHAnsi" w:hAnsiTheme="minorHAnsi" w:cstheme="minorBidi"/>
                <w:sz w:val="22"/>
                <w:szCs w:val="28"/>
                <w:lang w:val="en-US"/>
              </w:rPr>
            </w:pPr>
            <w:r w:rsidRPr="00AC1058">
              <w:rPr>
                <w:rFonts w:asciiTheme="minorHAnsi" w:eastAsiaTheme="minorHAnsi" w:hAnsiTheme="minorHAnsi" w:cstheme="minorBidi"/>
                <w:sz w:val="22"/>
                <w:szCs w:val="28"/>
                <w:lang w:val="en-US"/>
              </w:rPr>
              <w:t xml:space="preserve">Longhole drilling will employ a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 by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 pattern using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mm diameter blast holes.  Blast holes will be drilled upwards from the lower sublevel which will allow pre-drilled holes and hence permit increased longhole drill productivities . After blasting, three lines of unloaded holes must remain by regulation. Pre-drilled lines avoid drilling new holes near bootlegs or miss holes.</w:t>
            </w:r>
          </w:p>
          <w:p w:rsidR="008232B2" w:rsidRPr="00AC1058" w:rsidRDefault="008232B2" w:rsidP="008232B2">
            <w:pPr>
              <w:pStyle w:val="20"/>
              <w:shd w:val="clear" w:color="auto" w:fill="auto"/>
              <w:spacing w:line="240" w:lineRule="auto"/>
              <w:ind w:left="34" w:right="-1"/>
              <w:rPr>
                <w:rFonts w:asciiTheme="minorHAnsi" w:eastAsiaTheme="minorHAnsi" w:hAnsiTheme="minorHAnsi" w:cstheme="minorBidi"/>
                <w:b w:val="0"/>
                <w:bCs w:val="0"/>
                <w:sz w:val="22"/>
                <w:szCs w:val="28"/>
                <w:lang w:val="en-US"/>
              </w:rPr>
            </w:pPr>
          </w:p>
        </w:tc>
        <w:tc>
          <w:tcPr>
            <w:tcW w:w="4950" w:type="dxa"/>
          </w:tcPr>
          <w:p w:rsidR="008232B2" w:rsidRPr="008232B2" w:rsidRDefault="008232B2" w:rsidP="00EA20A1">
            <w:pPr>
              <w:spacing w:after="120"/>
              <w:rPr>
                <w:rFonts w:ascii="Arial" w:hAnsi="Arial" w:cs="Arial"/>
                <w:sz w:val="20"/>
                <w:szCs w:val="20"/>
                <w:lang w:val="en-US"/>
              </w:rPr>
            </w:pPr>
          </w:p>
        </w:tc>
      </w:tr>
      <w:tr w:rsidR="008232B2" w:rsidRPr="00AC1058" w:rsidTr="00EA20A1">
        <w:tc>
          <w:tcPr>
            <w:tcW w:w="5035" w:type="dxa"/>
          </w:tcPr>
          <w:p w:rsidR="008232B2" w:rsidRPr="00AC1058" w:rsidRDefault="008232B2" w:rsidP="008232B2">
            <w:pPr>
              <w:pStyle w:val="a4"/>
              <w:autoSpaceDE w:val="0"/>
              <w:autoSpaceDN w:val="0"/>
              <w:adjustRightInd w:val="0"/>
              <w:ind w:left="34"/>
              <w:jc w:val="left"/>
              <w:rPr>
                <w:rFonts w:asciiTheme="minorHAnsi" w:eastAsiaTheme="minorHAnsi" w:hAnsiTheme="minorHAnsi" w:cstheme="minorBidi"/>
                <w:sz w:val="22"/>
                <w:szCs w:val="28"/>
                <w:lang w:val="en-US"/>
              </w:rPr>
            </w:pPr>
            <w:r w:rsidRPr="00AC1058">
              <w:rPr>
                <w:rFonts w:asciiTheme="minorHAnsi" w:eastAsiaTheme="minorHAnsi" w:hAnsiTheme="minorHAnsi" w:cstheme="minorBidi"/>
                <w:sz w:val="22"/>
                <w:szCs w:val="28"/>
                <w:lang w:val="en-US"/>
              </w:rPr>
              <w:t>The deposit is hosted by the Chulbat batholith, an intrusive body that is tonalitic in composition with minor granodiorite phases. The tonalite intrusive rocks are cross-cut by thin aplite and andesite dykes. The andesite dykes are minor and appear to be post mineralization. The aplite dykes appear to be spatially associated with gold mineralization.</w:t>
            </w:r>
          </w:p>
          <w:p w:rsidR="008232B2" w:rsidRPr="00AC1058" w:rsidRDefault="008232B2" w:rsidP="008232B2">
            <w:pPr>
              <w:spacing w:after="120"/>
              <w:ind w:left="34"/>
              <w:rPr>
                <w:szCs w:val="28"/>
                <w:lang w:val="en-US"/>
              </w:rPr>
            </w:pPr>
          </w:p>
        </w:tc>
        <w:tc>
          <w:tcPr>
            <w:tcW w:w="4950" w:type="dxa"/>
          </w:tcPr>
          <w:p w:rsidR="008232B2" w:rsidRPr="008232B2" w:rsidRDefault="008232B2" w:rsidP="00EA20A1">
            <w:pPr>
              <w:spacing w:after="120"/>
              <w:rPr>
                <w:rFonts w:ascii="Arial" w:hAnsi="Arial" w:cs="Arial"/>
                <w:sz w:val="20"/>
                <w:szCs w:val="20"/>
                <w:lang w:val="en-US"/>
              </w:rPr>
            </w:pPr>
          </w:p>
        </w:tc>
      </w:tr>
      <w:tr w:rsidR="008232B2" w:rsidRPr="00AC1058" w:rsidTr="00EA20A1">
        <w:tc>
          <w:tcPr>
            <w:tcW w:w="5035" w:type="dxa"/>
          </w:tcPr>
          <w:p w:rsidR="008232B2" w:rsidRPr="00AC1058" w:rsidRDefault="008232B2" w:rsidP="008232B2">
            <w:pPr>
              <w:pStyle w:val="a4"/>
              <w:autoSpaceDE w:val="0"/>
              <w:autoSpaceDN w:val="0"/>
              <w:adjustRightInd w:val="0"/>
              <w:ind w:left="34"/>
              <w:jc w:val="left"/>
              <w:rPr>
                <w:rFonts w:asciiTheme="minorHAnsi" w:eastAsiaTheme="minorHAnsi" w:hAnsiTheme="minorHAnsi" w:cstheme="minorBidi"/>
                <w:sz w:val="22"/>
                <w:szCs w:val="28"/>
                <w:lang w:val="en-US"/>
              </w:rPr>
            </w:pPr>
            <w:r w:rsidRPr="00AC1058">
              <w:rPr>
                <w:rFonts w:asciiTheme="minorHAnsi" w:eastAsiaTheme="minorHAnsi" w:hAnsiTheme="minorHAnsi" w:cstheme="minorBidi"/>
                <w:b/>
                <w:sz w:val="22"/>
                <w:szCs w:val="28"/>
                <w:lang w:val="en-US"/>
              </w:rPr>
              <w:t>Gravity + Rougher Flotation + Cleaner Flotation:</w:t>
            </w:r>
            <w:r w:rsidRPr="00AC1058">
              <w:rPr>
                <w:rFonts w:asciiTheme="minorHAnsi" w:eastAsiaTheme="minorHAnsi" w:hAnsiTheme="minorHAnsi" w:cstheme="minorBidi"/>
                <w:sz w:val="22"/>
                <w:szCs w:val="28"/>
                <w:lang w:val="en-US"/>
              </w:rPr>
              <w:t xml:space="preserve"> Cleaner flotation tests were conducted on samples S-3 and S-5 gravity separation tailings to examine the potential to generate high grade, low mass concentrate. Batch cleaner flotation tests were conducted on rougher concentrates and illustrated the potential for upgrading the final concentrate. Subsequent to this finding, Locked Cycle Tests (LCT) were conducted on composites and gravity separation tailings.</w:t>
            </w:r>
          </w:p>
          <w:p w:rsidR="008232B2" w:rsidRPr="00AC1058" w:rsidRDefault="008232B2" w:rsidP="008232B2">
            <w:pPr>
              <w:pStyle w:val="20"/>
              <w:shd w:val="clear" w:color="auto" w:fill="auto"/>
              <w:spacing w:line="240" w:lineRule="auto"/>
              <w:ind w:left="34" w:right="-1"/>
              <w:rPr>
                <w:rFonts w:asciiTheme="minorHAnsi" w:eastAsiaTheme="minorHAnsi" w:hAnsiTheme="minorHAnsi" w:cstheme="minorBidi"/>
                <w:b w:val="0"/>
                <w:bCs w:val="0"/>
                <w:sz w:val="22"/>
                <w:szCs w:val="28"/>
                <w:lang w:val="en-US"/>
              </w:rPr>
            </w:pPr>
          </w:p>
        </w:tc>
        <w:tc>
          <w:tcPr>
            <w:tcW w:w="4950" w:type="dxa"/>
          </w:tcPr>
          <w:p w:rsidR="008232B2" w:rsidRPr="008232B2" w:rsidRDefault="008232B2" w:rsidP="00EA20A1">
            <w:pPr>
              <w:spacing w:after="120"/>
              <w:rPr>
                <w:rFonts w:ascii="Arial" w:hAnsi="Arial" w:cs="Arial"/>
                <w:sz w:val="20"/>
                <w:szCs w:val="20"/>
                <w:lang w:val="en-US"/>
              </w:rPr>
            </w:pPr>
          </w:p>
        </w:tc>
      </w:tr>
      <w:tr w:rsidR="008232B2" w:rsidRPr="00AC1058" w:rsidTr="00EA20A1">
        <w:tc>
          <w:tcPr>
            <w:tcW w:w="5035" w:type="dxa"/>
          </w:tcPr>
          <w:p w:rsidR="008232B2" w:rsidRPr="00AC1058" w:rsidRDefault="008232B2" w:rsidP="008232B2">
            <w:pPr>
              <w:pStyle w:val="a4"/>
              <w:autoSpaceDE w:val="0"/>
              <w:autoSpaceDN w:val="0"/>
              <w:adjustRightInd w:val="0"/>
              <w:ind w:left="34"/>
              <w:jc w:val="left"/>
              <w:rPr>
                <w:rFonts w:asciiTheme="minorHAnsi" w:eastAsiaTheme="minorHAnsi" w:hAnsiTheme="minorHAnsi" w:cstheme="minorBidi"/>
                <w:sz w:val="22"/>
                <w:szCs w:val="28"/>
                <w:lang w:val="en-US"/>
              </w:rPr>
            </w:pPr>
            <w:r w:rsidRPr="00AC1058">
              <w:rPr>
                <w:rFonts w:asciiTheme="minorHAnsi" w:eastAsiaTheme="minorHAnsi" w:hAnsiTheme="minorHAnsi" w:cstheme="minorBidi"/>
                <w:sz w:val="22"/>
                <w:szCs w:val="28"/>
                <w:lang w:val="en-US"/>
              </w:rPr>
              <w:t xml:space="preserve">According to the data obtained from several wells, the thickness of the aquifer in the valleys of the Chayatyn massif ranges from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to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 with depth from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to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 Groundwater is mainly unconfined. The flow rates of wells, which penetrated aquifer rocks, vary from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to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l/sec with level decreases by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and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m, respectively. Specific well rates vary from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to </w:t>
            </w:r>
            <w:r w:rsidRPr="008232B2">
              <w:rPr>
                <w:rFonts w:asciiTheme="minorHAnsi" w:eastAsiaTheme="minorHAnsi" w:hAnsiTheme="minorHAnsi" w:cstheme="minorBidi"/>
                <w:sz w:val="22"/>
                <w:szCs w:val="28"/>
                <w:lang w:val="ru-RU"/>
              </w:rPr>
              <w:t>ХХ</w:t>
            </w:r>
            <w:r w:rsidRPr="00AC1058">
              <w:rPr>
                <w:rFonts w:asciiTheme="minorHAnsi" w:eastAsiaTheme="minorHAnsi" w:hAnsiTheme="minorHAnsi" w:cstheme="minorBidi"/>
                <w:sz w:val="22"/>
                <w:szCs w:val="28"/>
                <w:lang w:val="en-US"/>
              </w:rPr>
              <w:t xml:space="preserve"> l/sec.</w:t>
            </w:r>
          </w:p>
          <w:p w:rsidR="008232B2" w:rsidRPr="00AC1058" w:rsidRDefault="008232B2" w:rsidP="008232B2">
            <w:pPr>
              <w:spacing w:after="120"/>
              <w:ind w:left="34"/>
              <w:rPr>
                <w:szCs w:val="28"/>
                <w:lang w:val="en-US"/>
              </w:rPr>
            </w:pPr>
          </w:p>
        </w:tc>
        <w:tc>
          <w:tcPr>
            <w:tcW w:w="4950" w:type="dxa"/>
          </w:tcPr>
          <w:p w:rsidR="008232B2" w:rsidRPr="008232B2" w:rsidRDefault="008232B2" w:rsidP="00EA20A1">
            <w:pPr>
              <w:spacing w:after="120"/>
              <w:rPr>
                <w:rFonts w:ascii="Arial" w:hAnsi="Arial" w:cs="Arial"/>
                <w:sz w:val="20"/>
                <w:szCs w:val="20"/>
                <w:lang w:val="en-US"/>
              </w:rPr>
            </w:pPr>
          </w:p>
        </w:tc>
      </w:tr>
    </w:tbl>
    <w:p w:rsidR="008232B2" w:rsidRPr="008232B2" w:rsidRDefault="008232B2" w:rsidP="008232B2">
      <w:pPr>
        <w:spacing w:after="120" w:line="240" w:lineRule="auto"/>
        <w:rPr>
          <w:rFonts w:ascii="Arial" w:hAnsi="Arial" w:cs="Arial"/>
          <w:sz w:val="20"/>
          <w:szCs w:val="20"/>
          <w:lang w:val="en-US"/>
        </w:rPr>
      </w:pPr>
    </w:p>
    <w:p w:rsidR="00406E53" w:rsidRPr="008232B2" w:rsidRDefault="00406E53">
      <w:pPr>
        <w:rPr>
          <w:lang w:val="en-US"/>
        </w:rPr>
      </w:pPr>
    </w:p>
    <w:sectPr w:rsidR="00406E53" w:rsidRPr="008232B2" w:rsidSect="006A1A3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4E41"/>
    <w:multiLevelType w:val="hybridMultilevel"/>
    <w:tmpl w:val="29BC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13"/>
    <w:rsid w:val="00406E53"/>
    <w:rsid w:val="006A1A3C"/>
    <w:rsid w:val="008232B2"/>
    <w:rsid w:val="00AC1058"/>
    <w:rsid w:val="00D5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B2"/>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2B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8232B2"/>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232B2"/>
    <w:pPr>
      <w:widowControl w:val="0"/>
      <w:shd w:val="clear" w:color="auto" w:fill="FFFFFF"/>
      <w:spacing w:after="0" w:line="226" w:lineRule="exact"/>
    </w:pPr>
    <w:rPr>
      <w:rFonts w:ascii="Times New Roman" w:eastAsia="Times New Roman" w:hAnsi="Times New Roman" w:cs="Times New Roman"/>
      <w:b/>
      <w:bCs/>
      <w:sz w:val="19"/>
      <w:szCs w:val="19"/>
    </w:rPr>
  </w:style>
  <w:style w:type="paragraph" w:styleId="a4">
    <w:name w:val="List Paragraph"/>
    <w:basedOn w:val="a"/>
    <w:uiPriority w:val="34"/>
    <w:qFormat/>
    <w:rsid w:val="008232B2"/>
    <w:pPr>
      <w:spacing w:after="0" w:line="240" w:lineRule="auto"/>
      <w:ind w:left="720"/>
      <w:contextualSpacing/>
      <w:jc w:val="both"/>
    </w:pPr>
    <w:rPr>
      <w:rFonts w:ascii="Segoe UI" w:eastAsia="Times New Roman" w:hAnsi="Segoe UI"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B2"/>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2B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8232B2"/>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232B2"/>
    <w:pPr>
      <w:widowControl w:val="0"/>
      <w:shd w:val="clear" w:color="auto" w:fill="FFFFFF"/>
      <w:spacing w:after="0" w:line="226" w:lineRule="exact"/>
    </w:pPr>
    <w:rPr>
      <w:rFonts w:ascii="Times New Roman" w:eastAsia="Times New Roman" w:hAnsi="Times New Roman" w:cs="Times New Roman"/>
      <w:b/>
      <w:bCs/>
      <w:sz w:val="19"/>
      <w:szCs w:val="19"/>
    </w:rPr>
  </w:style>
  <w:style w:type="paragraph" w:styleId="a4">
    <w:name w:val="List Paragraph"/>
    <w:basedOn w:val="a"/>
    <w:uiPriority w:val="34"/>
    <w:qFormat/>
    <w:rsid w:val="008232B2"/>
    <w:pPr>
      <w:spacing w:after="0" w:line="240" w:lineRule="auto"/>
      <w:ind w:left="720"/>
      <w:contextualSpacing/>
      <w:jc w:val="both"/>
    </w:pPr>
    <w:rPr>
      <w:rFonts w:ascii="Segoe UI" w:eastAsia="Times New Roman" w:hAnsi="Segoe UI"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NewVendor</dc:creator>
  <cp:keywords/>
  <dc:description/>
  <cp:lastModifiedBy>NewVendor</cp:lastModifiedBy>
  <cp:revision>3</cp:revision>
  <dcterms:created xsi:type="dcterms:W3CDTF">2021-05-31T12:12:00Z</dcterms:created>
  <dcterms:modified xsi:type="dcterms:W3CDTF">2021-05-31T12:25:00Z</dcterms:modified>
</cp:coreProperties>
</file>