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C2" w:rsidRPr="000513AD" w:rsidRDefault="00DA15C2" w:rsidP="003029FB">
      <w:pPr>
        <w:spacing w:after="120"/>
        <w:rPr>
          <w:rFonts w:ascii="Arial" w:hAnsi="Arial" w:cs="Arial"/>
          <w:sz w:val="20"/>
          <w:szCs w:val="20"/>
        </w:rPr>
      </w:pPr>
    </w:p>
    <w:p w:rsidR="00CD21F3" w:rsidRPr="002F4076" w:rsidRDefault="00CD21F3" w:rsidP="00CD21F3">
      <w:pPr>
        <w:rPr>
          <w:rFonts w:ascii="Arial" w:hAnsi="Arial" w:cs="Arial"/>
          <w:sz w:val="20"/>
          <w:szCs w:val="20"/>
        </w:rPr>
      </w:pPr>
      <w:r w:rsidRPr="002F4076">
        <w:rPr>
          <w:rFonts w:ascii="Arial" w:hAnsi="Arial" w:cs="Arial"/>
          <w:b/>
          <w:i/>
          <w:color w:val="000000"/>
          <w:sz w:val="20"/>
          <w:szCs w:val="20"/>
        </w:rPr>
        <w:t xml:space="preserve">Фамилия переводчика: </w:t>
      </w:r>
    </w:p>
    <w:p w:rsidR="00CD21F3" w:rsidRPr="002F4076" w:rsidRDefault="00CD21F3" w:rsidP="00CD21F3">
      <w:pPr>
        <w:rPr>
          <w:rFonts w:ascii="Arial" w:hAnsi="Arial" w:cs="Arial"/>
          <w:sz w:val="20"/>
          <w:szCs w:val="20"/>
        </w:rPr>
      </w:pPr>
      <w:r w:rsidRPr="002F4076">
        <w:rPr>
          <w:rFonts w:ascii="Arial" w:hAnsi="Arial" w:cs="Arial"/>
          <w:b/>
          <w:i/>
          <w:color w:val="000000"/>
          <w:sz w:val="20"/>
          <w:szCs w:val="20"/>
        </w:rPr>
        <w:t xml:space="preserve">Направление перевода: </w:t>
      </w:r>
      <w:r>
        <w:rPr>
          <w:rFonts w:ascii="Arial" w:hAnsi="Arial" w:cs="Arial"/>
          <w:i/>
          <w:color w:val="000000"/>
          <w:sz w:val="20"/>
          <w:szCs w:val="20"/>
        </w:rPr>
        <w:t>английский</w:t>
      </w:r>
      <w:r w:rsidRPr="002F4076">
        <w:rPr>
          <w:rFonts w:ascii="Arial" w:hAnsi="Arial" w:cs="Arial"/>
          <w:i/>
          <w:color w:val="000000"/>
          <w:sz w:val="20"/>
          <w:szCs w:val="20"/>
        </w:rPr>
        <w:t xml:space="preserve"> -&gt; </w:t>
      </w:r>
      <w:r>
        <w:rPr>
          <w:rFonts w:ascii="Arial" w:hAnsi="Arial" w:cs="Arial"/>
          <w:i/>
          <w:color w:val="000000"/>
          <w:sz w:val="20"/>
          <w:szCs w:val="20"/>
        </w:rPr>
        <w:t>русский</w:t>
      </w:r>
    </w:p>
    <w:p w:rsidR="00CD21F3" w:rsidRPr="00CD21F3" w:rsidRDefault="00CD21F3" w:rsidP="00CD21F3">
      <w:pPr>
        <w:rPr>
          <w:rFonts w:ascii="Arial" w:hAnsi="Arial" w:cs="Arial"/>
          <w:i/>
          <w:color w:val="000000"/>
          <w:sz w:val="20"/>
          <w:szCs w:val="20"/>
        </w:rPr>
      </w:pPr>
      <w:r w:rsidRPr="002F4076">
        <w:rPr>
          <w:rFonts w:ascii="Arial" w:hAnsi="Arial" w:cs="Arial"/>
          <w:b/>
          <w:i/>
          <w:color w:val="000000"/>
          <w:sz w:val="20"/>
          <w:szCs w:val="20"/>
        </w:rPr>
        <w:t xml:space="preserve">Предметная область: </w:t>
      </w:r>
      <w:r>
        <w:rPr>
          <w:rFonts w:ascii="Arial" w:hAnsi="Arial" w:cs="Arial"/>
          <w:i/>
          <w:color w:val="000000"/>
          <w:sz w:val="20"/>
          <w:szCs w:val="20"/>
        </w:rPr>
        <w:t xml:space="preserve">промышленная </w:t>
      </w:r>
      <w:r w:rsidR="00923AF8" w:rsidRPr="00923AF8">
        <w:rPr>
          <w:rFonts w:ascii="Arial" w:hAnsi="Arial" w:cs="Arial"/>
          <w:i/>
          <w:color w:val="000000"/>
          <w:sz w:val="20"/>
          <w:szCs w:val="20"/>
        </w:rPr>
        <w:t xml:space="preserve">электроника </w:t>
      </w:r>
      <w:r w:rsidR="00923AF8">
        <w:rPr>
          <w:rFonts w:ascii="Arial" w:hAnsi="Arial" w:cs="Arial"/>
          <w:i/>
          <w:color w:val="000000"/>
          <w:sz w:val="20"/>
          <w:szCs w:val="20"/>
        </w:rPr>
        <w:t>и</w:t>
      </w:r>
      <w:r w:rsidR="00923AF8" w:rsidRPr="00923AF8">
        <w:rPr>
          <w:rFonts w:ascii="Arial" w:hAnsi="Arial" w:cs="Arial"/>
          <w:i/>
          <w:color w:val="000000"/>
          <w:sz w:val="20"/>
          <w:szCs w:val="20"/>
        </w:rPr>
        <w:t xml:space="preserve"> системы автоматизации</w:t>
      </w:r>
    </w:p>
    <w:p w:rsidR="003859D1" w:rsidRDefault="00B5100A" w:rsidP="003029FB">
      <w:pPr>
        <w:spacing w:after="120"/>
        <w:rPr>
          <w:rFonts w:ascii="Arial" w:hAnsi="Arial" w:cs="Arial"/>
          <w:sz w:val="20"/>
          <w:szCs w:val="20"/>
        </w:rPr>
      </w:pPr>
      <w:r w:rsidRPr="00B5100A">
        <w:rPr>
          <w:rFonts w:ascii="Arial" w:hAnsi="Arial" w:cs="Arial"/>
          <w:i/>
          <w:color w:val="943634" w:themeColor="accent2" w:themeShade="BF"/>
          <w:sz w:val="20"/>
          <w:szCs w:val="20"/>
        </w:rPr>
        <w:t xml:space="preserve">Тест представляет собой выдержки из публикаций, относящихся к указанной выше предметной области, и предназначен для оценки </w:t>
      </w:r>
      <w:r w:rsidR="008F0AEA" w:rsidRPr="00B5100A">
        <w:rPr>
          <w:rFonts w:ascii="Arial" w:hAnsi="Arial" w:cs="Arial"/>
          <w:i/>
          <w:color w:val="943634" w:themeColor="accent2" w:themeShade="BF"/>
          <w:sz w:val="20"/>
          <w:szCs w:val="20"/>
        </w:rPr>
        <w:t>знани</w:t>
      </w:r>
      <w:r w:rsidRPr="00B5100A">
        <w:rPr>
          <w:rFonts w:ascii="Arial" w:hAnsi="Arial" w:cs="Arial"/>
          <w:i/>
          <w:color w:val="943634" w:themeColor="accent2" w:themeShade="BF"/>
          <w:sz w:val="20"/>
          <w:szCs w:val="20"/>
        </w:rPr>
        <w:t>я</w:t>
      </w:r>
      <w:r w:rsidR="008F0AEA" w:rsidRPr="00B5100A">
        <w:rPr>
          <w:rFonts w:ascii="Arial" w:hAnsi="Arial" w:cs="Arial"/>
          <w:i/>
          <w:color w:val="943634" w:themeColor="accent2" w:themeShade="BF"/>
          <w:sz w:val="20"/>
          <w:szCs w:val="20"/>
        </w:rPr>
        <w:t xml:space="preserve"> </w:t>
      </w:r>
      <w:r w:rsidRPr="00B5100A">
        <w:rPr>
          <w:rFonts w:ascii="Arial" w:hAnsi="Arial" w:cs="Arial"/>
          <w:i/>
          <w:color w:val="943634" w:themeColor="accent2" w:themeShade="BF"/>
          <w:sz w:val="20"/>
          <w:szCs w:val="20"/>
        </w:rPr>
        <w:t>предмета</w:t>
      </w:r>
      <w:r w:rsidR="008F0AEA" w:rsidRPr="00B5100A">
        <w:rPr>
          <w:rFonts w:ascii="Arial" w:hAnsi="Arial" w:cs="Arial"/>
          <w:i/>
          <w:color w:val="943634" w:themeColor="accent2" w:themeShade="BF"/>
          <w:sz w:val="20"/>
          <w:szCs w:val="20"/>
        </w:rPr>
        <w:t xml:space="preserve">, </w:t>
      </w:r>
      <w:r w:rsidRPr="00B5100A">
        <w:rPr>
          <w:rFonts w:ascii="Arial" w:hAnsi="Arial" w:cs="Arial"/>
          <w:i/>
          <w:color w:val="943634" w:themeColor="accent2" w:themeShade="BF"/>
          <w:sz w:val="20"/>
          <w:szCs w:val="20"/>
        </w:rPr>
        <w:t xml:space="preserve">соответствующей </w:t>
      </w:r>
      <w:r w:rsidR="008F0AEA" w:rsidRPr="00B5100A">
        <w:rPr>
          <w:rFonts w:ascii="Arial" w:hAnsi="Arial" w:cs="Arial"/>
          <w:i/>
          <w:color w:val="943634" w:themeColor="accent2" w:themeShade="BF"/>
          <w:sz w:val="20"/>
          <w:szCs w:val="20"/>
        </w:rPr>
        <w:t xml:space="preserve">терминологии </w:t>
      </w:r>
      <w:r w:rsidRPr="00B5100A">
        <w:rPr>
          <w:rFonts w:ascii="Arial" w:hAnsi="Arial" w:cs="Arial"/>
          <w:i/>
          <w:color w:val="943634" w:themeColor="accent2" w:themeShade="BF"/>
          <w:sz w:val="20"/>
          <w:szCs w:val="20"/>
        </w:rPr>
        <w:t xml:space="preserve">и </w:t>
      </w:r>
      <w:r w:rsidR="008F0AEA" w:rsidRPr="00B5100A">
        <w:rPr>
          <w:rFonts w:ascii="Arial" w:hAnsi="Arial" w:cs="Arial"/>
          <w:i/>
          <w:color w:val="943634" w:themeColor="accent2" w:themeShade="BF"/>
          <w:sz w:val="20"/>
          <w:szCs w:val="20"/>
        </w:rPr>
        <w:t>стилистических особенностей перевода аналогичных документов. Поскольку документы</w:t>
      </w:r>
      <w:r w:rsidRPr="00B5100A">
        <w:rPr>
          <w:rFonts w:ascii="Arial" w:hAnsi="Arial" w:cs="Arial"/>
          <w:i/>
          <w:color w:val="943634" w:themeColor="accent2" w:themeShade="BF"/>
          <w:sz w:val="20"/>
          <w:szCs w:val="20"/>
        </w:rPr>
        <w:t xml:space="preserve"> </w:t>
      </w:r>
      <w:r w:rsidR="008F0AEA" w:rsidRPr="00B5100A">
        <w:rPr>
          <w:rFonts w:ascii="Arial" w:hAnsi="Arial" w:cs="Arial"/>
          <w:i/>
          <w:color w:val="943634" w:themeColor="accent2" w:themeShade="BF"/>
          <w:sz w:val="20"/>
          <w:szCs w:val="20"/>
        </w:rPr>
        <w:t xml:space="preserve">достаточно сложны, необходим опыт и знания в данной области. Их отсутствие делает перевод надлежащего качества невозможным. </w:t>
      </w:r>
      <w:r w:rsidR="003859D1" w:rsidRPr="00B5100A">
        <w:rPr>
          <w:rFonts w:ascii="Arial" w:hAnsi="Arial" w:cs="Arial"/>
          <w:i/>
          <w:color w:val="943634" w:themeColor="accent2" w:themeShade="BF"/>
          <w:sz w:val="20"/>
          <w:szCs w:val="20"/>
        </w:rPr>
        <w:t>Для лучшего понимания текста настоятельно рекомендуется ознакомиться с оригиналами документов по указанным</w:t>
      </w:r>
      <w:r>
        <w:rPr>
          <w:rFonts w:ascii="Arial" w:hAnsi="Arial" w:cs="Arial"/>
          <w:i/>
          <w:color w:val="943634" w:themeColor="accent2" w:themeShade="BF"/>
          <w:sz w:val="20"/>
          <w:szCs w:val="20"/>
        </w:rPr>
        <w:t xml:space="preserve"> ниже</w:t>
      </w:r>
      <w:r w:rsidR="003859D1" w:rsidRPr="00B5100A">
        <w:rPr>
          <w:rFonts w:ascii="Arial" w:hAnsi="Arial" w:cs="Arial"/>
          <w:i/>
          <w:color w:val="943634" w:themeColor="accent2" w:themeShade="BF"/>
          <w:sz w:val="20"/>
          <w:szCs w:val="20"/>
        </w:rPr>
        <w:t xml:space="preserve"> ссылкам</w:t>
      </w:r>
      <w:r w:rsidR="003859D1">
        <w:rPr>
          <w:rFonts w:ascii="Arial" w:hAnsi="Arial" w:cs="Arial"/>
          <w:sz w:val="20"/>
          <w:szCs w:val="20"/>
        </w:rPr>
        <w:t>.</w:t>
      </w:r>
    </w:p>
    <w:tbl>
      <w:tblPr>
        <w:tblStyle w:val="a6"/>
        <w:tblW w:w="9529" w:type="dxa"/>
        <w:tblLayout w:type="fixed"/>
        <w:tblLook w:val="04A0" w:firstRow="1" w:lastRow="0" w:firstColumn="1" w:lastColumn="0" w:noHBand="0" w:noVBand="1"/>
      </w:tblPr>
      <w:tblGrid>
        <w:gridCol w:w="4786"/>
        <w:gridCol w:w="4743"/>
      </w:tblGrid>
      <w:tr w:rsidR="00E630EF" w:rsidRPr="000513AD" w:rsidTr="00E630EF">
        <w:tc>
          <w:tcPr>
            <w:tcW w:w="9529" w:type="dxa"/>
            <w:gridSpan w:val="2"/>
          </w:tcPr>
          <w:p w:rsidR="00E630EF" w:rsidRPr="006E6B3F" w:rsidRDefault="00E630EF" w:rsidP="00AE1FCE">
            <w:pPr>
              <w:spacing w:after="120"/>
              <w:rPr>
                <w:rFonts w:ascii="Arial" w:hAnsi="Arial" w:cs="Arial"/>
                <w:b/>
                <w:sz w:val="20"/>
                <w:szCs w:val="20"/>
                <w:lang w:val="en-US"/>
              </w:rPr>
            </w:pPr>
            <w:r>
              <w:rPr>
                <w:rFonts w:ascii="Arial" w:hAnsi="Arial" w:cs="Arial"/>
                <w:b/>
                <w:sz w:val="20"/>
                <w:szCs w:val="20"/>
              </w:rPr>
              <w:t>Часть 1</w:t>
            </w:r>
          </w:p>
        </w:tc>
      </w:tr>
      <w:tr w:rsidR="00B23FBE" w:rsidRPr="00B23FBE" w:rsidTr="00E630EF">
        <w:tc>
          <w:tcPr>
            <w:tcW w:w="9529" w:type="dxa"/>
            <w:gridSpan w:val="2"/>
          </w:tcPr>
          <w:p w:rsidR="00B5100A" w:rsidRPr="00B23FBE" w:rsidRDefault="00B5100A" w:rsidP="00B5100A">
            <w:pPr>
              <w:rPr>
                <w:rFonts w:ascii="Arial" w:hAnsi="Arial" w:cs="Arial"/>
                <w:color w:val="943634" w:themeColor="accent2" w:themeShade="BF"/>
                <w:sz w:val="20"/>
                <w:szCs w:val="20"/>
              </w:rPr>
            </w:pPr>
            <w:r w:rsidRPr="00B23FBE">
              <w:rPr>
                <w:rFonts w:ascii="Arial" w:hAnsi="Arial" w:cs="Arial"/>
                <w:color w:val="943634" w:themeColor="accent2" w:themeShade="BF"/>
                <w:sz w:val="20"/>
                <w:szCs w:val="20"/>
              </w:rPr>
              <w:t xml:space="preserve">С оригиналом можно ознакомиться по ссылке </w:t>
            </w:r>
          </w:p>
          <w:p w:rsidR="00B5100A" w:rsidRPr="00B23FBE" w:rsidRDefault="00B5100A" w:rsidP="00B5100A">
            <w:pPr>
              <w:spacing w:after="120"/>
              <w:rPr>
                <w:rFonts w:ascii="Arial" w:hAnsi="Arial" w:cs="Arial"/>
                <w:color w:val="943634" w:themeColor="accent2" w:themeShade="BF"/>
                <w:sz w:val="20"/>
                <w:szCs w:val="20"/>
                <w:u w:val="single"/>
              </w:rPr>
            </w:pPr>
            <w:hyperlink r:id="rId5" w:history="1">
              <w:r w:rsidRPr="00B23FBE">
                <w:rPr>
                  <w:rStyle w:val="a5"/>
                  <w:rFonts w:ascii="Arial" w:hAnsi="Arial" w:cs="Arial"/>
                  <w:color w:val="943634" w:themeColor="accent2" w:themeShade="BF"/>
                  <w:sz w:val="20"/>
                  <w:szCs w:val="20"/>
                  <w:lang w:val="en-US"/>
                </w:rPr>
                <w:t>https</w:t>
              </w:r>
              <w:r w:rsidRPr="00B23FBE">
                <w:rPr>
                  <w:rStyle w:val="a5"/>
                  <w:rFonts w:ascii="Arial" w:hAnsi="Arial" w:cs="Arial"/>
                  <w:color w:val="943634" w:themeColor="accent2" w:themeShade="BF"/>
                  <w:sz w:val="20"/>
                  <w:szCs w:val="20"/>
                </w:rPr>
                <w:t>://</w:t>
              </w:r>
              <w:r w:rsidRPr="00B23FBE">
                <w:rPr>
                  <w:rStyle w:val="a5"/>
                  <w:rFonts w:ascii="Arial" w:hAnsi="Arial" w:cs="Arial"/>
                  <w:color w:val="943634" w:themeColor="accent2" w:themeShade="BF"/>
                  <w:sz w:val="20"/>
                  <w:szCs w:val="20"/>
                  <w:lang w:val="en-US"/>
                </w:rPr>
                <w:t>www</w:t>
              </w:r>
              <w:r w:rsidRPr="00B23FBE">
                <w:rPr>
                  <w:rStyle w:val="a5"/>
                  <w:rFonts w:ascii="Arial" w:hAnsi="Arial" w:cs="Arial"/>
                  <w:color w:val="943634" w:themeColor="accent2" w:themeShade="BF"/>
                  <w:sz w:val="20"/>
                  <w:szCs w:val="20"/>
                </w:rPr>
                <w:t>.</w:t>
              </w:r>
              <w:proofErr w:type="spellStart"/>
              <w:r w:rsidRPr="00B23FBE">
                <w:rPr>
                  <w:rStyle w:val="a5"/>
                  <w:rFonts w:ascii="Arial" w:hAnsi="Arial" w:cs="Arial"/>
                  <w:color w:val="943634" w:themeColor="accent2" w:themeShade="BF"/>
                  <w:sz w:val="20"/>
                  <w:szCs w:val="20"/>
                  <w:lang w:val="en-US"/>
                </w:rPr>
                <w:t>mitsubishielectric</w:t>
              </w:r>
              <w:proofErr w:type="spellEnd"/>
              <w:r w:rsidRPr="00B23FBE">
                <w:rPr>
                  <w:rStyle w:val="a5"/>
                  <w:rFonts w:ascii="Arial" w:hAnsi="Arial" w:cs="Arial"/>
                  <w:color w:val="943634" w:themeColor="accent2" w:themeShade="BF"/>
                  <w:sz w:val="20"/>
                  <w:szCs w:val="20"/>
                </w:rPr>
                <w:t>.</w:t>
              </w:r>
              <w:r w:rsidRPr="00B23FBE">
                <w:rPr>
                  <w:rStyle w:val="a5"/>
                  <w:rFonts w:ascii="Arial" w:hAnsi="Arial" w:cs="Arial"/>
                  <w:color w:val="943634" w:themeColor="accent2" w:themeShade="BF"/>
                  <w:sz w:val="20"/>
                  <w:szCs w:val="20"/>
                  <w:lang w:val="en-US"/>
                </w:rPr>
                <w:t>com</w:t>
              </w:r>
              <w:r w:rsidRPr="00B23FBE">
                <w:rPr>
                  <w:rStyle w:val="a5"/>
                  <w:rFonts w:ascii="Arial" w:hAnsi="Arial" w:cs="Arial"/>
                  <w:color w:val="943634" w:themeColor="accent2" w:themeShade="BF"/>
                  <w:sz w:val="20"/>
                  <w:szCs w:val="20"/>
                </w:rPr>
                <w:t>/</w:t>
              </w:r>
              <w:r w:rsidRPr="00B23FBE">
                <w:rPr>
                  <w:rStyle w:val="a5"/>
                  <w:rFonts w:ascii="Arial" w:hAnsi="Arial" w:cs="Arial"/>
                  <w:color w:val="943634" w:themeColor="accent2" w:themeShade="BF"/>
                  <w:sz w:val="20"/>
                  <w:szCs w:val="20"/>
                  <w:lang w:val="en-US"/>
                </w:rPr>
                <w:t>dl</w:t>
              </w:r>
              <w:r w:rsidRPr="00B23FBE">
                <w:rPr>
                  <w:rStyle w:val="a5"/>
                  <w:rFonts w:ascii="Arial" w:hAnsi="Arial" w:cs="Arial"/>
                  <w:color w:val="943634" w:themeColor="accent2" w:themeShade="BF"/>
                  <w:sz w:val="20"/>
                  <w:szCs w:val="20"/>
                </w:rPr>
                <w:t>/</w:t>
              </w:r>
              <w:proofErr w:type="spellStart"/>
              <w:r w:rsidRPr="00B23FBE">
                <w:rPr>
                  <w:rStyle w:val="a5"/>
                  <w:rFonts w:ascii="Arial" w:hAnsi="Arial" w:cs="Arial"/>
                  <w:color w:val="943634" w:themeColor="accent2" w:themeShade="BF"/>
                  <w:sz w:val="20"/>
                  <w:szCs w:val="20"/>
                  <w:lang w:val="en-US"/>
                </w:rPr>
                <w:t>fa</w:t>
              </w:r>
              <w:proofErr w:type="spellEnd"/>
              <w:r w:rsidRPr="00B23FBE">
                <w:rPr>
                  <w:rStyle w:val="a5"/>
                  <w:rFonts w:ascii="Arial" w:hAnsi="Arial" w:cs="Arial"/>
                  <w:color w:val="943634" w:themeColor="accent2" w:themeShade="BF"/>
                  <w:sz w:val="20"/>
                  <w:szCs w:val="20"/>
                </w:rPr>
                <w:t>/</w:t>
              </w:r>
              <w:r w:rsidRPr="00B23FBE">
                <w:rPr>
                  <w:rStyle w:val="a5"/>
                  <w:rFonts w:ascii="Arial" w:hAnsi="Arial" w:cs="Arial"/>
                  <w:color w:val="943634" w:themeColor="accent2" w:themeShade="BF"/>
                  <w:sz w:val="20"/>
                  <w:szCs w:val="20"/>
                  <w:lang w:val="en-US"/>
                </w:rPr>
                <w:t>document</w:t>
              </w:r>
              <w:r w:rsidRPr="00B23FBE">
                <w:rPr>
                  <w:rStyle w:val="a5"/>
                  <w:rFonts w:ascii="Arial" w:hAnsi="Arial" w:cs="Arial"/>
                  <w:color w:val="943634" w:themeColor="accent2" w:themeShade="BF"/>
                  <w:sz w:val="20"/>
                  <w:szCs w:val="20"/>
                </w:rPr>
                <w:t>/</w:t>
              </w:r>
              <w:r w:rsidRPr="00B23FBE">
                <w:rPr>
                  <w:rStyle w:val="a5"/>
                  <w:rFonts w:ascii="Arial" w:hAnsi="Arial" w:cs="Arial"/>
                  <w:color w:val="943634" w:themeColor="accent2" w:themeShade="BF"/>
                  <w:sz w:val="20"/>
                  <w:szCs w:val="20"/>
                  <w:lang w:val="en-US"/>
                </w:rPr>
                <w:t>catalog</w:t>
              </w:r>
              <w:r w:rsidRPr="00B23FBE">
                <w:rPr>
                  <w:rStyle w:val="a5"/>
                  <w:rFonts w:ascii="Arial" w:hAnsi="Arial" w:cs="Arial"/>
                  <w:color w:val="943634" w:themeColor="accent2" w:themeShade="BF"/>
                  <w:sz w:val="20"/>
                  <w:szCs w:val="20"/>
                </w:rPr>
                <w:t>/</w:t>
              </w:r>
              <w:proofErr w:type="spellStart"/>
              <w:r w:rsidRPr="00B23FBE">
                <w:rPr>
                  <w:rStyle w:val="a5"/>
                  <w:rFonts w:ascii="Arial" w:hAnsi="Arial" w:cs="Arial"/>
                  <w:color w:val="943634" w:themeColor="accent2" w:themeShade="BF"/>
                  <w:sz w:val="20"/>
                  <w:szCs w:val="20"/>
                  <w:lang w:val="en-US"/>
                </w:rPr>
                <w:t>inv</w:t>
              </w:r>
              <w:proofErr w:type="spellEnd"/>
              <w:r w:rsidRPr="00B23FBE">
                <w:rPr>
                  <w:rStyle w:val="a5"/>
                  <w:rFonts w:ascii="Arial" w:hAnsi="Arial" w:cs="Arial"/>
                  <w:color w:val="943634" w:themeColor="accent2" w:themeShade="BF"/>
                  <w:sz w:val="20"/>
                  <w:szCs w:val="20"/>
                </w:rPr>
                <w:t>/</w:t>
              </w:r>
              <w:r w:rsidRPr="00B23FBE">
                <w:rPr>
                  <w:rStyle w:val="a5"/>
                  <w:rFonts w:ascii="Arial" w:hAnsi="Arial" w:cs="Arial"/>
                  <w:color w:val="943634" w:themeColor="accent2" w:themeShade="BF"/>
                  <w:sz w:val="20"/>
                  <w:szCs w:val="20"/>
                  <w:lang w:val="en-US"/>
                </w:rPr>
                <w:t>l</w:t>
              </w:r>
              <w:r w:rsidRPr="00B23FBE">
                <w:rPr>
                  <w:rStyle w:val="a5"/>
                  <w:rFonts w:ascii="Arial" w:hAnsi="Arial" w:cs="Arial"/>
                  <w:color w:val="943634" w:themeColor="accent2" w:themeShade="BF"/>
                  <w:sz w:val="20"/>
                  <w:szCs w:val="20"/>
                </w:rPr>
                <w:t>-</w:t>
              </w:r>
              <w:proofErr w:type="spellStart"/>
              <w:r w:rsidRPr="00B23FBE">
                <w:rPr>
                  <w:rStyle w:val="a5"/>
                  <w:rFonts w:ascii="Arial" w:hAnsi="Arial" w:cs="Arial"/>
                  <w:color w:val="943634" w:themeColor="accent2" w:themeShade="BF"/>
                  <w:sz w:val="20"/>
                  <w:szCs w:val="20"/>
                </w:rPr>
                <w:t>06127eng</w:t>
              </w:r>
              <w:proofErr w:type="spellEnd"/>
              <w:r w:rsidRPr="00B23FBE">
                <w:rPr>
                  <w:rStyle w:val="a5"/>
                  <w:rFonts w:ascii="Arial" w:hAnsi="Arial" w:cs="Arial"/>
                  <w:color w:val="943634" w:themeColor="accent2" w:themeShade="BF"/>
                  <w:sz w:val="20"/>
                  <w:szCs w:val="20"/>
                </w:rPr>
                <w:t>/</w:t>
              </w:r>
              <w:r w:rsidRPr="00B23FBE">
                <w:rPr>
                  <w:rStyle w:val="a5"/>
                  <w:rFonts w:ascii="Arial" w:hAnsi="Arial" w:cs="Arial"/>
                  <w:color w:val="943634" w:themeColor="accent2" w:themeShade="BF"/>
                  <w:sz w:val="20"/>
                  <w:szCs w:val="20"/>
                  <w:lang w:val="en-US"/>
                </w:rPr>
                <w:t>l</w:t>
              </w:r>
              <w:r w:rsidRPr="00B23FBE">
                <w:rPr>
                  <w:rStyle w:val="a5"/>
                  <w:rFonts w:ascii="Arial" w:hAnsi="Arial" w:cs="Arial"/>
                  <w:color w:val="943634" w:themeColor="accent2" w:themeShade="BF"/>
                  <w:sz w:val="20"/>
                  <w:szCs w:val="20"/>
                </w:rPr>
                <w:t>06127</w:t>
              </w:r>
              <w:proofErr w:type="spellStart"/>
              <w:r w:rsidRPr="00B23FBE">
                <w:rPr>
                  <w:rStyle w:val="a5"/>
                  <w:rFonts w:ascii="Arial" w:hAnsi="Arial" w:cs="Arial"/>
                  <w:color w:val="943634" w:themeColor="accent2" w:themeShade="BF"/>
                  <w:sz w:val="20"/>
                  <w:szCs w:val="20"/>
                  <w:lang w:val="en-US"/>
                </w:rPr>
                <w:t>engd</w:t>
              </w:r>
              <w:proofErr w:type="spellEnd"/>
              <w:r w:rsidRPr="00B23FBE">
                <w:rPr>
                  <w:rStyle w:val="a5"/>
                  <w:rFonts w:ascii="Arial" w:hAnsi="Arial" w:cs="Arial"/>
                  <w:color w:val="943634" w:themeColor="accent2" w:themeShade="BF"/>
                  <w:sz w:val="20"/>
                  <w:szCs w:val="20"/>
                </w:rPr>
                <w:t>.</w:t>
              </w:r>
              <w:proofErr w:type="spellStart"/>
              <w:r w:rsidRPr="00B23FBE">
                <w:rPr>
                  <w:rStyle w:val="a5"/>
                  <w:rFonts w:ascii="Arial" w:hAnsi="Arial" w:cs="Arial"/>
                  <w:color w:val="943634" w:themeColor="accent2" w:themeShade="BF"/>
                  <w:sz w:val="20"/>
                  <w:szCs w:val="20"/>
                  <w:lang w:val="en-US"/>
                </w:rPr>
                <w:t>pdf</w:t>
              </w:r>
              <w:proofErr w:type="spellEnd"/>
            </w:hyperlink>
          </w:p>
        </w:tc>
      </w:tr>
      <w:tr w:rsidR="00B23FBE" w:rsidRPr="00B23FBE" w:rsidTr="00E630EF">
        <w:tc>
          <w:tcPr>
            <w:tcW w:w="4786" w:type="dxa"/>
          </w:tcPr>
          <w:p w:rsidR="00B23FBE" w:rsidRPr="00B23FBE" w:rsidRDefault="00B23FBE" w:rsidP="006E6B3F">
            <w:pPr>
              <w:spacing w:after="120"/>
              <w:rPr>
                <w:rFonts w:ascii="Arial" w:hAnsi="Arial" w:cs="Arial"/>
                <w:b/>
                <w:color w:val="943634" w:themeColor="accent2" w:themeShade="BF"/>
                <w:sz w:val="20"/>
                <w:szCs w:val="20"/>
              </w:rPr>
            </w:pPr>
            <w:r w:rsidRPr="00B23FBE">
              <w:rPr>
                <w:rFonts w:ascii="Arial" w:hAnsi="Arial" w:cs="Arial"/>
                <w:b/>
                <w:color w:val="943634" w:themeColor="accent2" w:themeShade="BF"/>
                <w:sz w:val="20"/>
                <w:szCs w:val="20"/>
              </w:rPr>
              <w:t>Оригинал</w:t>
            </w:r>
          </w:p>
        </w:tc>
        <w:tc>
          <w:tcPr>
            <w:tcW w:w="4743" w:type="dxa"/>
          </w:tcPr>
          <w:p w:rsidR="00B23FBE" w:rsidRPr="00B23FBE" w:rsidRDefault="00B23FBE" w:rsidP="00AE1FCE">
            <w:pPr>
              <w:spacing w:after="120"/>
              <w:rPr>
                <w:rFonts w:ascii="Arial" w:hAnsi="Arial" w:cs="Arial"/>
                <w:b/>
                <w:color w:val="943634" w:themeColor="accent2" w:themeShade="BF"/>
                <w:sz w:val="20"/>
                <w:szCs w:val="20"/>
              </w:rPr>
            </w:pPr>
            <w:r w:rsidRPr="00B23FBE">
              <w:rPr>
                <w:rFonts w:ascii="Arial" w:hAnsi="Arial" w:cs="Arial"/>
                <w:b/>
                <w:color w:val="943634" w:themeColor="accent2" w:themeShade="BF"/>
                <w:sz w:val="20"/>
                <w:szCs w:val="20"/>
              </w:rPr>
              <w:t>Перевод</w:t>
            </w:r>
          </w:p>
        </w:tc>
      </w:tr>
      <w:tr w:rsidR="006E6B3F" w:rsidRPr="000513AD" w:rsidTr="00E630EF">
        <w:tc>
          <w:tcPr>
            <w:tcW w:w="4786" w:type="dxa"/>
          </w:tcPr>
          <w:p w:rsidR="006E6B3F" w:rsidRPr="006B7F7A" w:rsidRDefault="006E6B3F" w:rsidP="006E6B3F">
            <w:pPr>
              <w:spacing w:after="120"/>
              <w:rPr>
                <w:rFonts w:ascii="Arial" w:hAnsi="Arial" w:cs="Arial"/>
                <w:b/>
                <w:sz w:val="20"/>
                <w:szCs w:val="20"/>
                <w:lang w:val="en-US"/>
              </w:rPr>
            </w:pPr>
            <w:r w:rsidRPr="006B7F7A">
              <w:rPr>
                <w:rFonts w:ascii="Arial" w:hAnsi="Arial" w:cs="Arial"/>
                <w:b/>
                <w:sz w:val="20"/>
                <w:szCs w:val="20"/>
                <w:lang w:val="en-US"/>
              </w:rPr>
              <w:t xml:space="preserve">Three-phase 200/400 V class inverters </w:t>
            </w:r>
          </w:p>
        </w:tc>
        <w:tc>
          <w:tcPr>
            <w:tcW w:w="4743" w:type="dxa"/>
          </w:tcPr>
          <w:p w:rsidR="006E6B3F" w:rsidRPr="006E6B3F" w:rsidRDefault="006E6B3F" w:rsidP="00AE1FCE">
            <w:pPr>
              <w:spacing w:after="120"/>
              <w:rPr>
                <w:rFonts w:ascii="Arial" w:hAnsi="Arial" w:cs="Arial"/>
                <w:b/>
                <w:sz w:val="20"/>
                <w:szCs w:val="20"/>
                <w:lang w:val="en-US"/>
              </w:rPr>
            </w:pPr>
          </w:p>
        </w:tc>
      </w:tr>
      <w:tr w:rsidR="006E6B3F" w:rsidRPr="000513AD" w:rsidTr="00E630EF">
        <w:tc>
          <w:tcPr>
            <w:tcW w:w="4786" w:type="dxa"/>
          </w:tcPr>
          <w:p w:rsidR="006E6B3F" w:rsidRPr="006B7F7A" w:rsidRDefault="006E6B3F" w:rsidP="002A037A">
            <w:pPr>
              <w:spacing w:after="120"/>
              <w:rPr>
                <w:rFonts w:ascii="Arial" w:hAnsi="Arial" w:cs="Arial"/>
                <w:sz w:val="20"/>
                <w:szCs w:val="20"/>
                <w:lang w:val="en-US"/>
              </w:rPr>
            </w:pPr>
            <w:r w:rsidRPr="006B7F7A">
              <w:rPr>
                <w:rFonts w:ascii="Arial" w:hAnsi="Arial" w:cs="Arial"/>
                <w:sz w:val="20"/>
                <w:szCs w:val="20"/>
                <w:lang w:val="en-US"/>
              </w:rPr>
              <w:t>Open network and functional safety functions in a compact size</w:t>
            </w:r>
            <w:r w:rsidR="002A037A">
              <w:rPr>
                <w:rFonts w:ascii="Arial" w:hAnsi="Arial" w:cs="Arial"/>
                <w:sz w:val="20"/>
                <w:szCs w:val="20"/>
                <w:lang w:val="en-US"/>
              </w:rPr>
              <w:t>.</w:t>
            </w:r>
            <w:r w:rsidR="002A037A" w:rsidRPr="006B7F7A">
              <w:rPr>
                <w:rFonts w:ascii="Arial" w:hAnsi="Arial" w:cs="Arial"/>
                <w:sz w:val="20"/>
                <w:szCs w:val="20"/>
                <w:lang w:val="en-US"/>
              </w:rPr>
              <w:t xml:space="preserve"> </w:t>
            </w:r>
            <w:r w:rsidR="002A037A" w:rsidRPr="006B7F7A">
              <w:rPr>
                <w:rFonts w:ascii="Arial" w:hAnsi="Arial" w:cs="Arial"/>
                <w:sz w:val="20"/>
                <w:szCs w:val="20"/>
                <w:lang w:val="en-US"/>
              </w:rPr>
              <w:t>New models added. The capacity range is extended as compared to the preceding inverters.</w:t>
            </w:r>
          </w:p>
        </w:tc>
        <w:tc>
          <w:tcPr>
            <w:tcW w:w="4743" w:type="dxa"/>
          </w:tcPr>
          <w:p w:rsidR="006E6B3F" w:rsidRPr="006E6B3F" w:rsidRDefault="006E6B3F" w:rsidP="00AE1FCE">
            <w:pPr>
              <w:spacing w:after="120"/>
              <w:rPr>
                <w:rFonts w:ascii="Arial" w:hAnsi="Arial" w:cs="Arial"/>
                <w:sz w:val="20"/>
                <w:szCs w:val="20"/>
                <w:lang w:val="en-US"/>
              </w:rPr>
            </w:pPr>
          </w:p>
        </w:tc>
      </w:tr>
      <w:tr w:rsidR="006E6B3F" w:rsidRPr="000513AD" w:rsidTr="00E630EF">
        <w:tc>
          <w:tcPr>
            <w:tcW w:w="4786" w:type="dxa"/>
          </w:tcPr>
          <w:p w:rsidR="006E6B3F" w:rsidRPr="006B7F7A" w:rsidRDefault="006E6B3F" w:rsidP="006E6B3F">
            <w:pPr>
              <w:spacing w:after="120"/>
              <w:rPr>
                <w:rFonts w:ascii="Arial" w:hAnsi="Arial" w:cs="Arial"/>
                <w:sz w:val="20"/>
                <w:szCs w:val="20"/>
                <w:lang w:val="en-US"/>
              </w:rPr>
            </w:pPr>
            <w:r w:rsidRPr="006B7F7A">
              <w:rPr>
                <w:rFonts w:ascii="Arial" w:hAnsi="Arial" w:cs="Arial"/>
                <w:sz w:val="20"/>
                <w:szCs w:val="20"/>
                <w:lang w:val="en-US"/>
              </w:rPr>
              <w:t>Approximately 20% less space is required for installation in an enclosure as compared to the layout using our earlier inverters.</w:t>
            </w:r>
            <w:r w:rsidR="002A037A" w:rsidRPr="006B7F7A">
              <w:rPr>
                <w:rFonts w:ascii="Arial" w:hAnsi="Arial" w:cs="Arial"/>
                <w:sz w:val="20"/>
                <w:szCs w:val="20"/>
                <w:lang w:val="en-US"/>
              </w:rPr>
              <w:t xml:space="preserve"> </w:t>
            </w:r>
            <w:r w:rsidR="002A037A" w:rsidRPr="006B7F7A">
              <w:rPr>
                <w:rFonts w:ascii="Arial" w:hAnsi="Arial" w:cs="Arial"/>
                <w:sz w:val="20"/>
                <w:szCs w:val="20"/>
                <w:lang w:val="en-US"/>
              </w:rPr>
              <w:t>Users can select the most suitable layout in a given space. (Note that the installation depth is greater when the plug-in option is connected.)</w:t>
            </w:r>
            <w:r w:rsidR="00AE175C" w:rsidRPr="006B7F7A">
              <w:rPr>
                <w:rFonts w:ascii="Arial" w:hAnsi="Arial" w:cs="Arial"/>
                <w:sz w:val="20"/>
                <w:szCs w:val="20"/>
                <w:lang w:val="en-US"/>
              </w:rPr>
              <w:t xml:space="preserve"> </w:t>
            </w:r>
            <w:r w:rsidR="00AE175C" w:rsidRPr="006B7F7A">
              <w:rPr>
                <w:rFonts w:ascii="Arial" w:hAnsi="Arial" w:cs="Arial"/>
                <w:sz w:val="20"/>
                <w:szCs w:val="20"/>
                <w:lang w:val="en-US"/>
              </w:rPr>
              <w:t>Since multiple ratings are supported, the inverter can be used to drive a 30 kW motor.</w:t>
            </w:r>
          </w:p>
        </w:tc>
        <w:tc>
          <w:tcPr>
            <w:tcW w:w="4743" w:type="dxa"/>
          </w:tcPr>
          <w:p w:rsidR="006E6B3F" w:rsidRPr="006E6B3F" w:rsidRDefault="006E6B3F" w:rsidP="00AE1FCE">
            <w:pPr>
              <w:spacing w:after="120"/>
              <w:rPr>
                <w:rFonts w:ascii="Arial" w:hAnsi="Arial" w:cs="Arial"/>
                <w:sz w:val="20"/>
                <w:szCs w:val="20"/>
                <w:lang w:val="en-US"/>
              </w:rPr>
            </w:pPr>
          </w:p>
        </w:tc>
      </w:tr>
      <w:tr w:rsidR="006E6B3F" w:rsidRPr="006E6B3F" w:rsidTr="00E630EF">
        <w:tc>
          <w:tcPr>
            <w:tcW w:w="4786" w:type="dxa"/>
          </w:tcPr>
          <w:p w:rsidR="006E6B3F" w:rsidRPr="006B7F7A" w:rsidRDefault="006E6B3F" w:rsidP="00AE1FCE">
            <w:pPr>
              <w:spacing w:after="120"/>
              <w:rPr>
                <w:rFonts w:ascii="Arial" w:hAnsi="Arial" w:cs="Arial"/>
                <w:b/>
                <w:sz w:val="20"/>
                <w:szCs w:val="20"/>
                <w:lang w:val="en-US"/>
              </w:rPr>
            </w:pPr>
            <w:r w:rsidRPr="006B7F7A">
              <w:rPr>
                <w:rFonts w:ascii="Arial" w:hAnsi="Arial" w:cs="Arial"/>
                <w:b/>
                <w:sz w:val="20"/>
                <w:szCs w:val="20"/>
                <w:lang w:val="en-US"/>
              </w:rPr>
              <w:t>Position control</w:t>
            </w:r>
          </w:p>
        </w:tc>
        <w:tc>
          <w:tcPr>
            <w:tcW w:w="4743" w:type="dxa"/>
          </w:tcPr>
          <w:p w:rsidR="006E6B3F" w:rsidRPr="006E6B3F" w:rsidRDefault="006E6B3F" w:rsidP="00AE1FCE">
            <w:pPr>
              <w:spacing w:after="120"/>
              <w:rPr>
                <w:rFonts w:ascii="Arial" w:hAnsi="Arial" w:cs="Arial"/>
                <w:b/>
                <w:sz w:val="20"/>
                <w:szCs w:val="20"/>
                <w:lang w:val="en-US"/>
              </w:rPr>
            </w:pPr>
          </w:p>
        </w:tc>
      </w:tr>
      <w:tr w:rsidR="006E6B3F" w:rsidRPr="000513AD" w:rsidTr="00E630EF">
        <w:tc>
          <w:tcPr>
            <w:tcW w:w="4786" w:type="dxa"/>
          </w:tcPr>
          <w:p w:rsidR="006E6B3F" w:rsidRPr="006B7F7A" w:rsidRDefault="006E6B3F" w:rsidP="00AE175C">
            <w:pPr>
              <w:spacing w:after="120"/>
              <w:rPr>
                <w:rFonts w:ascii="Arial" w:hAnsi="Arial" w:cs="Arial"/>
                <w:sz w:val="20"/>
                <w:szCs w:val="20"/>
                <w:lang w:val="en-US"/>
              </w:rPr>
            </w:pPr>
            <w:r w:rsidRPr="006B7F7A">
              <w:rPr>
                <w:rFonts w:ascii="Arial" w:hAnsi="Arial" w:cs="Arial"/>
                <w:sz w:val="20"/>
                <w:szCs w:val="20"/>
                <w:lang w:val="en-US"/>
              </w:rPr>
              <w:t>Position control supported under vector control, enabling accurate and stable transfer. Vector control enables accurate transfer of bottles to the filling position.</w:t>
            </w:r>
          </w:p>
        </w:tc>
        <w:tc>
          <w:tcPr>
            <w:tcW w:w="4743" w:type="dxa"/>
          </w:tcPr>
          <w:p w:rsidR="006E6B3F" w:rsidRPr="006E6B3F" w:rsidRDefault="006E6B3F" w:rsidP="00AE1FCE">
            <w:pPr>
              <w:spacing w:after="120"/>
              <w:rPr>
                <w:rFonts w:ascii="Arial" w:hAnsi="Arial" w:cs="Arial"/>
                <w:sz w:val="20"/>
                <w:szCs w:val="20"/>
                <w:lang w:val="en-US"/>
              </w:rPr>
            </w:pPr>
          </w:p>
        </w:tc>
      </w:tr>
      <w:tr w:rsidR="006E6B3F" w:rsidRPr="000513AD" w:rsidTr="00E630EF">
        <w:tc>
          <w:tcPr>
            <w:tcW w:w="4786" w:type="dxa"/>
          </w:tcPr>
          <w:p w:rsidR="006E6B3F" w:rsidRPr="006B7F7A" w:rsidRDefault="006E6B3F" w:rsidP="00AE1FCE">
            <w:pPr>
              <w:spacing w:after="120"/>
              <w:rPr>
                <w:rFonts w:ascii="Arial" w:hAnsi="Arial" w:cs="Arial"/>
                <w:b/>
                <w:sz w:val="20"/>
                <w:szCs w:val="20"/>
                <w:lang w:val="en-US"/>
              </w:rPr>
            </w:pPr>
            <w:r w:rsidRPr="006B7F7A">
              <w:rPr>
                <w:rFonts w:ascii="Arial" w:hAnsi="Arial" w:cs="Arial"/>
                <w:b/>
                <w:sz w:val="20"/>
                <w:szCs w:val="20"/>
                <w:lang w:val="en-US"/>
              </w:rPr>
              <w:t>Positioning function (point table method)</w:t>
            </w:r>
          </w:p>
        </w:tc>
        <w:tc>
          <w:tcPr>
            <w:tcW w:w="4743" w:type="dxa"/>
          </w:tcPr>
          <w:p w:rsidR="006E6B3F" w:rsidRPr="006E6B3F" w:rsidRDefault="006E6B3F" w:rsidP="00AE1FCE">
            <w:pPr>
              <w:spacing w:after="120"/>
              <w:rPr>
                <w:rFonts w:ascii="Arial" w:hAnsi="Arial" w:cs="Arial"/>
                <w:sz w:val="20"/>
                <w:szCs w:val="20"/>
                <w:lang w:val="en-US"/>
              </w:rPr>
            </w:pPr>
          </w:p>
        </w:tc>
      </w:tr>
      <w:tr w:rsidR="006E6B3F" w:rsidRPr="000513AD" w:rsidTr="00E630EF">
        <w:tc>
          <w:tcPr>
            <w:tcW w:w="4786" w:type="dxa"/>
          </w:tcPr>
          <w:p w:rsidR="006E6B3F" w:rsidRPr="006B7F7A" w:rsidRDefault="006E6B3F" w:rsidP="00AE1FCE">
            <w:pPr>
              <w:spacing w:after="120"/>
              <w:rPr>
                <w:rFonts w:ascii="Arial" w:hAnsi="Arial" w:cs="Arial"/>
                <w:sz w:val="20"/>
                <w:szCs w:val="20"/>
                <w:lang w:val="en-US"/>
              </w:rPr>
            </w:pPr>
            <w:r w:rsidRPr="006B7F7A">
              <w:rPr>
                <w:rFonts w:ascii="Arial" w:hAnsi="Arial" w:cs="Arial"/>
                <w:sz w:val="20"/>
                <w:szCs w:val="20"/>
                <w:lang w:val="en-US"/>
              </w:rPr>
              <w:t xml:space="preserve">Position data (target position, speed, </w:t>
            </w:r>
            <w:proofErr w:type="gramStart"/>
            <w:r w:rsidRPr="006B7F7A">
              <w:rPr>
                <w:rFonts w:ascii="Arial" w:hAnsi="Arial" w:cs="Arial"/>
                <w:sz w:val="20"/>
                <w:szCs w:val="20"/>
                <w:lang w:val="en-US"/>
              </w:rPr>
              <w:t>acceleration</w:t>
            </w:r>
            <w:proofErr w:type="gramEnd"/>
            <w:r w:rsidRPr="006B7F7A">
              <w:rPr>
                <w:rFonts w:ascii="Arial" w:hAnsi="Arial" w:cs="Arial"/>
                <w:sz w:val="20"/>
                <w:szCs w:val="20"/>
                <w:lang w:val="en-US"/>
              </w:rPr>
              <w:t>/deceleration time) and so on can be set in the parameters.</w:t>
            </w:r>
            <w:r w:rsidR="00AE175C" w:rsidRPr="006B7F7A">
              <w:rPr>
                <w:rFonts w:ascii="Arial" w:hAnsi="Arial" w:cs="Arial"/>
                <w:sz w:val="20"/>
                <w:szCs w:val="20"/>
                <w:lang w:val="en-US"/>
              </w:rPr>
              <w:t xml:space="preserve"> </w:t>
            </w:r>
            <w:r w:rsidR="00AE175C" w:rsidRPr="006B7F7A">
              <w:rPr>
                <w:rFonts w:ascii="Arial" w:hAnsi="Arial" w:cs="Arial"/>
                <w:sz w:val="20"/>
                <w:szCs w:val="20"/>
                <w:lang w:val="en-US"/>
              </w:rPr>
              <w:t>Positioning is possible for up to 7 points.</w:t>
            </w:r>
          </w:p>
        </w:tc>
        <w:tc>
          <w:tcPr>
            <w:tcW w:w="4743" w:type="dxa"/>
          </w:tcPr>
          <w:p w:rsidR="006E6B3F" w:rsidRPr="006E6B3F" w:rsidRDefault="006E6B3F" w:rsidP="00AE1FCE">
            <w:pPr>
              <w:spacing w:after="120"/>
              <w:rPr>
                <w:rFonts w:ascii="Arial" w:hAnsi="Arial" w:cs="Arial"/>
                <w:sz w:val="20"/>
                <w:szCs w:val="20"/>
                <w:lang w:val="en-US"/>
              </w:rPr>
            </w:pPr>
          </w:p>
        </w:tc>
      </w:tr>
      <w:tr w:rsidR="006E6B3F" w:rsidRPr="00AE175C" w:rsidTr="00E630EF">
        <w:tc>
          <w:tcPr>
            <w:tcW w:w="4786" w:type="dxa"/>
          </w:tcPr>
          <w:p w:rsidR="006E6B3F" w:rsidRPr="006B7F7A" w:rsidRDefault="006E6B3F" w:rsidP="00AE1FCE">
            <w:pPr>
              <w:spacing w:after="120"/>
              <w:rPr>
                <w:rFonts w:ascii="Arial" w:hAnsi="Arial" w:cs="Arial"/>
                <w:sz w:val="20"/>
                <w:szCs w:val="20"/>
                <w:lang w:val="en-US"/>
              </w:rPr>
            </w:pPr>
            <w:r w:rsidRPr="006B7F7A">
              <w:rPr>
                <w:rFonts w:ascii="Arial" w:hAnsi="Arial" w:cs="Arial"/>
                <w:sz w:val="20"/>
                <w:szCs w:val="20"/>
                <w:lang w:val="en-US"/>
              </w:rPr>
              <w:t>Positioning operation is performed by selecting point table numbers with external interface signals. Continuous positioning is possible.</w:t>
            </w:r>
            <w:r w:rsidR="00AE175C" w:rsidRPr="006B7F7A">
              <w:rPr>
                <w:rFonts w:ascii="Arial" w:hAnsi="Arial" w:cs="Arial"/>
                <w:sz w:val="20"/>
                <w:szCs w:val="20"/>
                <w:lang w:val="en-US"/>
              </w:rPr>
              <w:t xml:space="preserve"> </w:t>
            </w:r>
            <w:r w:rsidR="00AE175C" w:rsidRPr="006B7F7A">
              <w:rPr>
                <w:rFonts w:ascii="Arial" w:hAnsi="Arial" w:cs="Arial"/>
                <w:sz w:val="20"/>
                <w:szCs w:val="20"/>
                <w:lang w:val="en-US"/>
              </w:rPr>
              <w:t>Products with or without this function may coexist in the market depending on the inventory conditions.</w:t>
            </w:r>
          </w:p>
        </w:tc>
        <w:tc>
          <w:tcPr>
            <w:tcW w:w="4743" w:type="dxa"/>
          </w:tcPr>
          <w:p w:rsidR="006E6B3F" w:rsidRPr="006E6B3F" w:rsidRDefault="006E6B3F" w:rsidP="00AE1FCE">
            <w:pPr>
              <w:spacing w:after="120"/>
              <w:rPr>
                <w:rFonts w:ascii="Arial" w:hAnsi="Arial" w:cs="Arial"/>
                <w:sz w:val="20"/>
                <w:szCs w:val="20"/>
                <w:lang w:val="en-US"/>
              </w:rPr>
            </w:pPr>
          </w:p>
        </w:tc>
      </w:tr>
      <w:tr w:rsidR="00652182" w:rsidRPr="00652182" w:rsidTr="00E630EF">
        <w:tc>
          <w:tcPr>
            <w:tcW w:w="4786" w:type="dxa"/>
          </w:tcPr>
          <w:p w:rsidR="00652182" w:rsidRPr="006B7F7A" w:rsidRDefault="00652182" w:rsidP="00AE1FCE">
            <w:pPr>
              <w:spacing w:after="120"/>
              <w:rPr>
                <w:rFonts w:ascii="Arial" w:hAnsi="Arial" w:cs="Arial"/>
                <w:b/>
                <w:sz w:val="20"/>
                <w:szCs w:val="20"/>
                <w:lang w:val="en-US"/>
              </w:rPr>
            </w:pPr>
            <w:r w:rsidRPr="006B7F7A">
              <w:rPr>
                <w:rFonts w:ascii="Arial" w:hAnsi="Arial" w:cs="Arial"/>
                <w:b/>
                <w:sz w:val="20"/>
                <w:szCs w:val="20"/>
                <w:lang w:val="en-US"/>
              </w:rPr>
              <w:t>Inverter rating</w:t>
            </w:r>
          </w:p>
        </w:tc>
        <w:tc>
          <w:tcPr>
            <w:tcW w:w="4743" w:type="dxa"/>
          </w:tcPr>
          <w:p w:rsidR="00652182" w:rsidRPr="00652182" w:rsidRDefault="00652182" w:rsidP="00AE1FCE">
            <w:pPr>
              <w:spacing w:after="120"/>
              <w:rPr>
                <w:rFonts w:ascii="Arial" w:hAnsi="Arial" w:cs="Arial"/>
                <w:b/>
                <w:sz w:val="20"/>
                <w:szCs w:val="20"/>
                <w:lang w:val="en-US"/>
              </w:rPr>
            </w:pPr>
          </w:p>
        </w:tc>
      </w:tr>
      <w:tr w:rsidR="00652182" w:rsidRPr="000513AD" w:rsidTr="00E630EF">
        <w:tc>
          <w:tcPr>
            <w:tcW w:w="4786" w:type="dxa"/>
          </w:tcPr>
          <w:p w:rsidR="00652182" w:rsidRPr="006B7F7A" w:rsidRDefault="00652182" w:rsidP="00AE1FCE">
            <w:pPr>
              <w:spacing w:after="120"/>
              <w:rPr>
                <w:rFonts w:ascii="Arial" w:hAnsi="Arial" w:cs="Arial"/>
                <w:sz w:val="20"/>
                <w:szCs w:val="20"/>
                <w:lang w:val="en-US"/>
              </w:rPr>
            </w:pPr>
            <w:r w:rsidRPr="006B7F7A">
              <w:rPr>
                <w:rFonts w:ascii="Arial" w:hAnsi="Arial" w:cs="Arial"/>
                <w:sz w:val="20"/>
                <w:szCs w:val="20"/>
                <w:lang w:val="en-US"/>
              </w:rPr>
              <w:t>Overload current rating</w:t>
            </w:r>
            <w:r w:rsidR="006B7F7A" w:rsidRPr="006B7F7A">
              <w:rPr>
                <w:rFonts w:ascii="Arial" w:hAnsi="Arial" w:cs="Arial"/>
                <w:sz w:val="20"/>
                <w:szCs w:val="20"/>
                <w:lang w:val="en-US"/>
              </w:rPr>
              <w:t xml:space="preserve">: 120% 60 s, 150% 3 s (inverse-time characteristics) at surrounding air temperature of </w:t>
            </w:r>
            <w:proofErr w:type="spellStart"/>
            <w:r w:rsidR="006B7F7A" w:rsidRPr="006B7F7A">
              <w:rPr>
                <w:rFonts w:ascii="Arial" w:hAnsi="Arial" w:cs="Arial"/>
                <w:sz w:val="20"/>
                <w:szCs w:val="20"/>
                <w:lang w:val="en-US"/>
              </w:rPr>
              <w:t>50°C</w:t>
            </w:r>
            <w:proofErr w:type="spellEnd"/>
          </w:p>
        </w:tc>
        <w:tc>
          <w:tcPr>
            <w:tcW w:w="4743" w:type="dxa"/>
          </w:tcPr>
          <w:p w:rsidR="00652182" w:rsidRPr="006E6B3F" w:rsidRDefault="00652182" w:rsidP="00AE1FCE">
            <w:pPr>
              <w:spacing w:after="120"/>
              <w:rPr>
                <w:rFonts w:ascii="Arial" w:hAnsi="Arial" w:cs="Arial"/>
                <w:sz w:val="20"/>
                <w:szCs w:val="20"/>
                <w:lang w:val="en-US"/>
              </w:rPr>
            </w:pPr>
          </w:p>
        </w:tc>
      </w:tr>
      <w:tr w:rsidR="00652182" w:rsidRPr="000513AD" w:rsidTr="00E630EF">
        <w:tc>
          <w:tcPr>
            <w:tcW w:w="4786" w:type="dxa"/>
          </w:tcPr>
          <w:p w:rsidR="00652182" w:rsidRPr="006B7F7A" w:rsidRDefault="00652182" w:rsidP="00652182">
            <w:pPr>
              <w:spacing w:after="120"/>
              <w:rPr>
                <w:rFonts w:ascii="Arial" w:hAnsi="Arial" w:cs="Arial"/>
                <w:sz w:val="20"/>
                <w:szCs w:val="20"/>
                <w:lang w:val="en-US"/>
              </w:rPr>
            </w:pPr>
            <w:r w:rsidRPr="006B7F7A">
              <w:rPr>
                <w:rFonts w:ascii="Arial" w:hAnsi="Arial" w:cs="Arial"/>
                <w:sz w:val="20"/>
                <w:szCs w:val="20"/>
                <w:lang w:val="en-US"/>
              </w:rPr>
              <w:t xml:space="preserve">The percentage of the overload current rating is the ratio of the overload current to the inverter's rated output current. For repeated duty, allow time for the inverter and motor to return to or below the temperatures under 100% </w:t>
            </w:r>
            <w:proofErr w:type="gramStart"/>
            <w:r w:rsidRPr="006B7F7A">
              <w:rPr>
                <w:rFonts w:ascii="Arial" w:hAnsi="Arial" w:cs="Arial"/>
                <w:sz w:val="20"/>
                <w:szCs w:val="20"/>
                <w:lang w:val="en-US"/>
              </w:rPr>
              <w:t>load</w:t>
            </w:r>
            <w:proofErr w:type="gramEnd"/>
            <w:r w:rsidRPr="006B7F7A">
              <w:rPr>
                <w:rFonts w:ascii="Arial" w:hAnsi="Arial" w:cs="Arial"/>
                <w:sz w:val="20"/>
                <w:szCs w:val="20"/>
                <w:lang w:val="en-US"/>
              </w:rPr>
              <w:t>.</w:t>
            </w:r>
          </w:p>
        </w:tc>
        <w:tc>
          <w:tcPr>
            <w:tcW w:w="4743" w:type="dxa"/>
          </w:tcPr>
          <w:p w:rsidR="00652182" w:rsidRPr="006E6B3F" w:rsidRDefault="00652182" w:rsidP="00AE1FCE">
            <w:pPr>
              <w:spacing w:after="120"/>
              <w:rPr>
                <w:rFonts w:ascii="Arial" w:hAnsi="Arial" w:cs="Arial"/>
                <w:sz w:val="20"/>
                <w:szCs w:val="20"/>
                <w:lang w:val="en-US"/>
              </w:rPr>
            </w:pPr>
          </w:p>
        </w:tc>
      </w:tr>
      <w:tr w:rsidR="00652182" w:rsidRPr="000513AD" w:rsidTr="00E630EF">
        <w:tc>
          <w:tcPr>
            <w:tcW w:w="4786" w:type="dxa"/>
          </w:tcPr>
          <w:p w:rsidR="00652182" w:rsidRPr="006B7F7A" w:rsidRDefault="006B7F7A" w:rsidP="006B7F7A">
            <w:pPr>
              <w:spacing w:after="120"/>
              <w:rPr>
                <w:rFonts w:ascii="Arial" w:hAnsi="Arial" w:cs="Arial"/>
                <w:sz w:val="20"/>
                <w:szCs w:val="20"/>
                <w:lang w:val="en-US"/>
              </w:rPr>
            </w:pPr>
            <w:r w:rsidRPr="006B7F7A">
              <w:rPr>
                <w:rFonts w:ascii="Arial" w:hAnsi="Arial" w:cs="Arial"/>
                <w:sz w:val="20"/>
                <w:szCs w:val="20"/>
                <w:lang w:val="en-US"/>
              </w:rPr>
              <w:t xml:space="preserve">Voltage: The maximum output voltage does not exceed the power supply voltage. The maximum output voltage can be changed within the setting </w:t>
            </w:r>
            <w:r w:rsidRPr="006B7F7A">
              <w:rPr>
                <w:rFonts w:ascii="Arial" w:hAnsi="Arial" w:cs="Arial"/>
                <w:sz w:val="20"/>
                <w:szCs w:val="20"/>
                <w:lang w:val="en-US"/>
              </w:rPr>
              <w:lastRenderedPageBreak/>
              <w:t>range. The maximum point of the voltage waveform at the output side of the inverter is approximately the power supply voltage multiplied by √2.</w:t>
            </w:r>
          </w:p>
        </w:tc>
        <w:tc>
          <w:tcPr>
            <w:tcW w:w="4743" w:type="dxa"/>
          </w:tcPr>
          <w:p w:rsidR="00652182" w:rsidRPr="006E6B3F" w:rsidRDefault="00652182" w:rsidP="00AE1FCE">
            <w:pPr>
              <w:spacing w:after="120"/>
              <w:rPr>
                <w:rFonts w:ascii="Arial" w:hAnsi="Arial" w:cs="Arial"/>
                <w:sz w:val="20"/>
                <w:szCs w:val="20"/>
                <w:lang w:val="en-US"/>
              </w:rPr>
            </w:pPr>
          </w:p>
        </w:tc>
      </w:tr>
    </w:tbl>
    <w:p w:rsidR="000513AD" w:rsidRPr="00E205CA" w:rsidRDefault="000513AD" w:rsidP="001E63B2">
      <w:pPr>
        <w:spacing w:after="120"/>
        <w:rPr>
          <w:rFonts w:ascii="Arial" w:hAnsi="Arial" w:cs="Arial"/>
          <w:sz w:val="20"/>
          <w:szCs w:val="20"/>
        </w:rPr>
      </w:pPr>
    </w:p>
    <w:tbl>
      <w:tblPr>
        <w:tblStyle w:val="a6"/>
        <w:tblW w:w="0" w:type="auto"/>
        <w:tblLayout w:type="fixed"/>
        <w:tblLook w:val="04A0" w:firstRow="1" w:lastRow="0" w:firstColumn="1" w:lastColumn="0" w:noHBand="0" w:noVBand="1"/>
      </w:tblPr>
      <w:tblGrid>
        <w:gridCol w:w="4786"/>
        <w:gridCol w:w="12"/>
        <w:gridCol w:w="4731"/>
      </w:tblGrid>
      <w:tr w:rsidR="00E630EF" w:rsidRPr="00E630EF" w:rsidTr="00B23FBE">
        <w:tc>
          <w:tcPr>
            <w:tcW w:w="9529" w:type="dxa"/>
            <w:gridSpan w:val="3"/>
          </w:tcPr>
          <w:p w:rsidR="00E630EF" w:rsidRPr="00E630EF" w:rsidRDefault="00E630EF" w:rsidP="00E630EF">
            <w:pPr>
              <w:spacing w:after="120"/>
              <w:rPr>
                <w:rFonts w:ascii="Arial" w:hAnsi="Arial" w:cs="Arial"/>
                <w:b/>
                <w:sz w:val="20"/>
                <w:szCs w:val="20"/>
              </w:rPr>
            </w:pPr>
            <w:r w:rsidRPr="00E630EF">
              <w:rPr>
                <w:rFonts w:ascii="Arial" w:hAnsi="Arial" w:cs="Arial"/>
                <w:b/>
                <w:sz w:val="20"/>
                <w:szCs w:val="20"/>
              </w:rPr>
              <w:t>Часть 2</w:t>
            </w:r>
          </w:p>
        </w:tc>
      </w:tr>
      <w:tr w:rsidR="00B23FBE" w:rsidRPr="00B23FBE" w:rsidTr="00B23FBE">
        <w:tc>
          <w:tcPr>
            <w:tcW w:w="9529" w:type="dxa"/>
            <w:gridSpan w:val="3"/>
          </w:tcPr>
          <w:p w:rsidR="00E630EF" w:rsidRPr="00B23FBE" w:rsidRDefault="00E630EF" w:rsidP="00E630EF">
            <w:pPr>
              <w:rPr>
                <w:rFonts w:ascii="Arial" w:hAnsi="Arial" w:cs="Arial"/>
                <w:color w:val="943634" w:themeColor="accent2" w:themeShade="BF"/>
                <w:sz w:val="20"/>
                <w:szCs w:val="20"/>
              </w:rPr>
            </w:pPr>
            <w:r w:rsidRPr="00B23FBE">
              <w:rPr>
                <w:rFonts w:ascii="Arial" w:hAnsi="Arial" w:cs="Arial"/>
                <w:color w:val="943634" w:themeColor="accent2" w:themeShade="BF"/>
                <w:sz w:val="20"/>
                <w:szCs w:val="20"/>
              </w:rPr>
              <w:t>С оригинал</w:t>
            </w:r>
            <w:r w:rsidR="00B23FBE" w:rsidRPr="00B23FBE">
              <w:rPr>
                <w:rFonts w:ascii="Arial" w:hAnsi="Arial" w:cs="Arial"/>
                <w:color w:val="943634" w:themeColor="accent2" w:themeShade="BF"/>
                <w:sz w:val="20"/>
                <w:szCs w:val="20"/>
              </w:rPr>
              <w:t>ами</w:t>
            </w:r>
            <w:r w:rsidRPr="00B23FBE">
              <w:rPr>
                <w:rFonts w:ascii="Arial" w:hAnsi="Arial" w:cs="Arial"/>
                <w:color w:val="943634" w:themeColor="accent2" w:themeShade="BF"/>
                <w:sz w:val="20"/>
                <w:szCs w:val="20"/>
              </w:rPr>
              <w:t xml:space="preserve"> можно ознакомиться по ссылкам</w:t>
            </w:r>
          </w:p>
          <w:p w:rsidR="00E630EF" w:rsidRPr="00B23FBE" w:rsidRDefault="00E630EF" w:rsidP="00E630EF">
            <w:pPr>
              <w:rPr>
                <w:rFonts w:ascii="Arial" w:hAnsi="Arial" w:cs="Arial"/>
                <w:color w:val="943634" w:themeColor="accent2" w:themeShade="BF"/>
                <w:sz w:val="20"/>
                <w:szCs w:val="20"/>
              </w:rPr>
            </w:pPr>
            <w:r w:rsidRPr="00B23FBE">
              <w:rPr>
                <w:rFonts w:ascii="Arial" w:hAnsi="Arial" w:cs="Arial"/>
                <w:color w:val="943634" w:themeColor="accent2" w:themeShade="BF"/>
                <w:sz w:val="20"/>
                <w:szCs w:val="20"/>
              </w:rPr>
              <w:t>https://assets.balluff.com/WebBinary1/LIT_CAT_IO_LINK_EN_D18_DRW_895192_01_000.pdf</w:t>
            </w:r>
          </w:p>
          <w:p w:rsidR="00E630EF" w:rsidRPr="00B23FBE" w:rsidRDefault="00E630EF" w:rsidP="00E630EF">
            <w:pPr>
              <w:spacing w:after="120"/>
              <w:rPr>
                <w:rFonts w:ascii="Arial" w:hAnsi="Arial" w:cs="Arial"/>
                <w:color w:val="943634" w:themeColor="accent2" w:themeShade="BF"/>
                <w:sz w:val="20"/>
                <w:szCs w:val="20"/>
              </w:rPr>
            </w:pPr>
            <w:r w:rsidRPr="00B23FBE">
              <w:rPr>
                <w:rFonts w:ascii="Arial" w:hAnsi="Arial" w:cs="Arial"/>
                <w:color w:val="943634" w:themeColor="accent2" w:themeShade="BF"/>
                <w:sz w:val="20"/>
                <w:szCs w:val="20"/>
              </w:rPr>
              <w:t>https://assets.balluff.com/WebBinary1/LIT_BRO_ARCHITECTS_SMART_MANUFAC_EN_C20_DRW_947047_00_000.pdf</w:t>
            </w:r>
          </w:p>
        </w:tc>
      </w:tr>
      <w:tr w:rsidR="00B23FBE" w:rsidRPr="00B23FBE" w:rsidTr="00B23FBE">
        <w:tc>
          <w:tcPr>
            <w:tcW w:w="4786" w:type="dxa"/>
          </w:tcPr>
          <w:p w:rsidR="00B23FBE" w:rsidRPr="00B23FBE" w:rsidRDefault="00B23FBE" w:rsidP="00D76777">
            <w:pPr>
              <w:spacing w:after="120"/>
              <w:rPr>
                <w:rFonts w:ascii="Arial" w:hAnsi="Arial" w:cs="Arial"/>
                <w:b/>
                <w:color w:val="943634" w:themeColor="accent2" w:themeShade="BF"/>
                <w:sz w:val="20"/>
                <w:szCs w:val="20"/>
              </w:rPr>
            </w:pPr>
            <w:r w:rsidRPr="00B23FBE">
              <w:rPr>
                <w:rFonts w:ascii="Arial" w:hAnsi="Arial" w:cs="Arial"/>
                <w:b/>
                <w:color w:val="943634" w:themeColor="accent2" w:themeShade="BF"/>
                <w:sz w:val="20"/>
                <w:szCs w:val="20"/>
              </w:rPr>
              <w:t>Оригинал</w:t>
            </w:r>
          </w:p>
        </w:tc>
        <w:tc>
          <w:tcPr>
            <w:tcW w:w="4743" w:type="dxa"/>
            <w:gridSpan w:val="2"/>
          </w:tcPr>
          <w:p w:rsidR="00B23FBE" w:rsidRPr="00B23FBE" w:rsidRDefault="00B23FBE" w:rsidP="00D76777">
            <w:pPr>
              <w:spacing w:after="120"/>
              <w:rPr>
                <w:rFonts w:ascii="Arial" w:hAnsi="Arial" w:cs="Arial"/>
                <w:b/>
                <w:color w:val="943634" w:themeColor="accent2" w:themeShade="BF"/>
                <w:sz w:val="20"/>
                <w:szCs w:val="20"/>
              </w:rPr>
            </w:pPr>
            <w:r w:rsidRPr="00B23FBE">
              <w:rPr>
                <w:rFonts w:ascii="Arial" w:hAnsi="Arial" w:cs="Arial"/>
                <w:b/>
                <w:color w:val="943634" w:themeColor="accent2" w:themeShade="BF"/>
                <w:sz w:val="20"/>
                <w:szCs w:val="20"/>
              </w:rPr>
              <w:t>Перевод</w:t>
            </w:r>
          </w:p>
        </w:tc>
      </w:tr>
      <w:tr w:rsidR="00747DBA" w:rsidRPr="00E630EF" w:rsidTr="00B23FBE">
        <w:tc>
          <w:tcPr>
            <w:tcW w:w="4798" w:type="dxa"/>
            <w:gridSpan w:val="2"/>
          </w:tcPr>
          <w:p w:rsidR="00747DBA" w:rsidRPr="00E630EF" w:rsidRDefault="00747DBA" w:rsidP="00E630EF">
            <w:pPr>
              <w:spacing w:after="120"/>
              <w:rPr>
                <w:rFonts w:ascii="Arial" w:hAnsi="Arial" w:cs="Arial"/>
                <w:b/>
                <w:sz w:val="20"/>
                <w:szCs w:val="20"/>
                <w:lang w:val="en-US"/>
              </w:rPr>
            </w:pPr>
            <w:r w:rsidRPr="00E630EF">
              <w:rPr>
                <w:rFonts w:ascii="Arial" w:hAnsi="Arial" w:cs="Arial"/>
                <w:b/>
                <w:sz w:val="20"/>
                <w:szCs w:val="20"/>
                <w:lang w:val="en-US"/>
              </w:rPr>
              <w:t>WHY IO-LINK</w:t>
            </w:r>
            <w:r w:rsidRPr="00E630EF">
              <w:rPr>
                <w:rFonts w:ascii="Arial" w:hAnsi="Arial" w:cs="Arial"/>
                <w:b/>
                <w:sz w:val="20"/>
                <w:szCs w:val="20"/>
                <w:lang w:val="en-US"/>
              </w:rPr>
              <w:t xml:space="preserve"> </w:t>
            </w:r>
            <w:r w:rsidRPr="00E630EF">
              <w:rPr>
                <w:rFonts w:ascii="Arial" w:hAnsi="Arial" w:cs="Arial"/>
                <w:b/>
                <w:sz w:val="20"/>
                <w:szCs w:val="20"/>
                <w:lang w:val="en-US"/>
              </w:rPr>
              <w:t>IS IN THE PASSING LANE</w:t>
            </w:r>
          </w:p>
        </w:tc>
        <w:tc>
          <w:tcPr>
            <w:tcW w:w="4731" w:type="dxa"/>
          </w:tcPr>
          <w:p w:rsidR="00747DBA" w:rsidRPr="00E630EF" w:rsidRDefault="00747DBA" w:rsidP="00E630EF">
            <w:pPr>
              <w:spacing w:after="120"/>
              <w:rPr>
                <w:rFonts w:ascii="Arial" w:hAnsi="Arial" w:cs="Arial"/>
                <w:b/>
                <w:sz w:val="20"/>
                <w:szCs w:val="20"/>
                <w:lang w:val="en-US"/>
              </w:rPr>
            </w:pPr>
          </w:p>
        </w:tc>
      </w:tr>
      <w:tr w:rsidR="00747DBA" w:rsidRPr="00E630EF" w:rsidTr="00B23FBE">
        <w:tc>
          <w:tcPr>
            <w:tcW w:w="4798" w:type="dxa"/>
            <w:gridSpan w:val="2"/>
          </w:tcPr>
          <w:p w:rsidR="00747DBA" w:rsidRPr="00E630EF" w:rsidRDefault="00747DBA" w:rsidP="00E630EF">
            <w:pPr>
              <w:spacing w:after="120"/>
              <w:rPr>
                <w:rFonts w:ascii="Arial" w:hAnsi="Arial" w:cs="Arial"/>
                <w:b/>
                <w:sz w:val="20"/>
                <w:szCs w:val="20"/>
                <w:lang w:val="en-US"/>
              </w:rPr>
            </w:pPr>
            <w:r w:rsidRPr="00E630EF">
              <w:rPr>
                <w:rFonts w:ascii="Arial" w:hAnsi="Arial" w:cs="Arial"/>
                <w:b/>
                <w:sz w:val="20"/>
                <w:szCs w:val="20"/>
                <w:lang w:val="en-US"/>
              </w:rPr>
              <w:t>Highest machine availability</w:t>
            </w:r>
          </w:p>
        </w:tc>
        <w:tc>
          <w:tcPr>
            <w:tcW w:w="4731" w:type="dxa"/>
          </w:tcPr>
          <w:p w:rsidR="00747DBA" w:rsidRPr="00E630EF" w:rsidRDefault="00747DBA" w:rsidP="00E630EF">
            <w:pPr>
              <w:spacing w:after="120"/>
              <w:rPr>
                <w:rFonts w:ascii="Arial" w:hAnsi="Arial" w:cs="Arial"/>
                <w:b/>
                <w:sz w:val="20"/>
                <w:szCs w:val="20"/>
              </w:rPr>
            </w:pPr>
          </w:p>
        </w:tc>
      </w:tr>
      <w:tr w:rsidR="00E630EF" w:rsidRPr="00E630EF" w:rsidTr="00B23FBE">
        <w:tc>
          <w:tcPr>
            <w:tcW w:w="4798" w:type="dxa"/>
            <w:gridSpan w:val="2"/>
          </w:tcPr>
          <w:p w:rsidR="00E630EF" w:rsidRPr="00E630EF" w:rsidRDefault="00E630EF" w:rsidP="00BA68B5">
            <w:pPr>
              <w:spacing w:after="120"/>
              <w:rPr>
                <w:rFonts w:ascii="Arial" w:hAnsi="Arial" w:cs="Arial"/>
                <w:sz w:val="20"/>
                <w:szCs w:val="20"/>
                <w:lang w:val="en-US"/>
              </w:rPr>
            </w:pPr>
            <w:r w:rsidRPr="00E630EF">
              <w:rPr>
                <w:rFonts w:ascii="Arial" w:hAnsi="Arial" w:cs="Arial"/>
                <w:sz w:val="20"/>
                <w:szCs w:val="20"/>
                <w:lang w:val="en-US"/>
              </w:rPr>
              <w:t>The first globally standardized IO technology (</w:t>
            </w:r>
            <w:proofErr w:type="spellStart"/>
            <w:r w:rsidRPr="00E630EF">
              <w:rPr>
                <w:rFonts w:ascii="Arial" w:hAnsi="Arial" w:cs="Arial"/>
                <w:sz w:val="20"/>
                <w:szCs w:val="20"/>
                <w:lang w:val="en-US"/>
              </w:rPr>
              <w:t>IEC</w:t>
            </w:r>
            <w:proofErr w:type="spellEnd"/>
            <w:r w:rsidR="00BA68B5" w:rsidRPr="00BA68B5">
              <w:rPr>
                <w:rFonts w:ascii="Arial" w:hAnsi="Arial" w:cs="Arial"/>
                <w:sz w:val="20"/>
                <w:szCs w:val="20"/>
                <w:lang w:val="en-US"/>
              </w:rPr>
              <w:t> </w:t>
            </w:r>
            <w:r w:rsidRPr="00E630EF">
              <w:rPr>
                <w:rFonts w:ascii="Arial" w:hAnsi="Arial" w:cs="Arial"/>
                <w:sz w:val="20"/>
                <w:szCs w:val="20"/>
                <w:lang w:val="en-US"/>
              </w:rPr>
              <w:t>61131-9) uses a fieldbus-neutral point-to-point connection and standard unshielded cables. It sends all the sensor and actuator signals to the controller with revolutionary consequenc</w:t>
            </w:r>
            <w:bookmarkStart w:id="0" w:name="_GoBack"/>
            <w:bookmarkEnd w:id="0"/>
            <w:r w:rsidRPr="00E630EF">
              <w:rPr>
                <w:rFonts w:ascii="Arial" w:hAnsi="Arial" w:cs="Arial"/>
                <w:sz w:val="20"/>
                <w:szCs w:val="20"/>
                <w:lang w:val="en-US"/>
              </w:rPr>
              <w:t>es.</w:t>
            </w:r>
          </w:p>
        </w:tc>
        <w:tc>
          <w:tcPr>
            <w:tcW w:w="4731" w:type="dxa"/>
          </w:tcPr>
          <w:p w:rsidR="00E630EF" w:rsidRPr="00E630EF" w:rsidRDefault="00E630EF" w:rsidP="00E630EF">
            <w:pPr>
              <w:spacing w:after="120"/>
              <w:rPr>
                <w:rFonts w:ascii="Arial" w:hAnsi="Arial" w:cs="Arial"/>
                <w:sz w:val="20"/>
                <w:szCs w:val="20"/>
              </w:rPr>
            </w:pPr>
          </w:p>
        </w:tc>
      </w:tr>
      <w:tr w:rsidR="00747DBA" w:rsidRPr="00E630EF" w:rsidTr="00B23FBE">
        <w:tc>
          <w:tcPr>
            <w:tcW w:w="4798" w:type="dxa"/>
            <w:gridSpan w:val="2"/>
          </w:tcPr>
          <w:p w:rsidR="00747DBA" w:rsidRPr="00E630EF" w:rsidRDefault="00747DBA" w:rsidP="00E630EF">
            <w:pPr>
              <w:spacing w:after="120"/>
              <w:rPr>
                <w:rFonts w:ascii="Arial" w:hAnsi="Arial" w:cs="Arial"/>
                <w:sz w:val="20"/>
                <w:szCs w:val="20"/>
                <w:lang w:val="en-US"/>
              </w:rPr>
            </w:pPr>
            <w:r w:rsidRPr="00E630EF">
              <w:rPr>
                <w:rFonts w:ascii="Arial" w:hAnsi="Arial" w:cs="Arial"/>
                <w:sz w:val="20"/>
                <w:szCs w:val="20"/>
                <w:lang w:val="en-US"/>
              </w:rPr>
              <w:t>Controller concepts using IO-Link</w:t>
            </w:r>
            <w:r w:rsidRPr="00E630EF">
              <w:rPr>
                <w:rFonts w:ascii="Arial" w:hAnsi="Arial" w:cs="Arial"/>
                <w:sz w:val="20"/>
                <w:szCs w:val="20"/>
                <w:lang w:val="en-US"/>
              </w:rPr>
              <w:t xml:space="preserve"> </w:t>
            </w:r>
            <w:r w:rsidRPr="00E630EF">
              <w:rPr>
                <w:rFonts w:ascii="Arial" w:hAnsi="Arial" w:cs="Arial"/>
                <w:sz w:val="20"/>
                <w:szCs w:val="20"/>
                <w:lang w:val="en-US"/>
              </w:rPr>
              <w:t>provide you with simple and universal</w:t>
            </w:r>
            <w:r w:rsidRPr="00E630EF">
              <w:rPr>
                <w:rFonts w:ascii="Arial" w:hAnsi="Arial" w:cs="Arial"/>
                <w:sz w:val="20"/>
                <w:szCs w:val="20"/>
                <w:lang w:val="en-US"/>
              </w:rPr>
              <w:t xml:space="preserve"> </w:t>
            </w:r>
            <w:r w:rsidRPr="00E630EF">
              <w:rPr>
                <w:rFonts w:ascii="Arial" w:hAnsi="Arial" w:cs="Arial"/>
                <w:sz w:val="20"/>
                <w:szCs w:val="20"/>
                <w:lang w:val="en-US"/>
              </w:rPr>
              <w:t>solutions for a high-performance,</w:t>
            </w:r>
            <w:r w:rsidRPr="00E630EF">
              <w:rPr>
                <w:rFonts w:ascii="Arial" w:hAnsi="Arial" w:cs="Arial"/>
                <w:sz w:val="20"/>
                <w:szCs w:val="20"/>
                <w:lang w:val="en-US"/>
              </w:rPr>
              <w:t xml:space="preserve"> </w:t>
            </w:r>
            <w:r w:rsidRPr="00E630EF">
              <w:rPr>
                <w:rFonts w:ascii="Arial" w:hAnsi="Arial" w:cs="Arial"/>
                <w:sz w:val="20"/>
                <w:szCs w:val="20"/>
                <w:lang w:val="en-US"/>
              </w:rPr>
              <w:t>consistent network, so that with this</w:t>
            </w:r>
            <w:r w:rsidRPr="00E630EF">
              <w:rPr>
                <w:rFonts w:ascii="Arial" w:hAnsi="Arial" w:cs="Arial"/>
                <w:sz w:val="20"/>
                <w:szCs w:val="20"/>
                <w:lang w:val="en-US"/>
              </w:rPr>
              <w:t xml:space="preserve"> </w:t>
            </w:r>
            <w:r w:rsidRPr="00E630EF">
              <w:rPr>
                <w:rFonts w:ascii="Arial" w:hAnsi="Arial" w:cs="Arial"/>
                <w:sz w:val="20"/>
                <w:szCs w:val="20"/>
                <w:lang w:val="en-US"/>
              </w:rPr>
              <w:t>universal interface you profit from lower</w:t>
            </w:r>
            <w:r w:rsidRPr="00E630EF">
              <w:rPr>
                <w:rFonts w:ascii="Arial" w:hAnsi="Arial" w:cs="Arial"/>
                <w:sz w:val="20"/>
                <w:szCs w:val="20"/>
                <w:lang w:val="en-US"/>
              </w:rPr>
              <w:t xml:space="preserve"> </w:t>
            </w:r>
            <w:r w:rsidRPr="00E630EF">
              <w:rPr>
                <w:rFonts w:ascii="Arial" w:hAnsi="Arial" w:cs="Arial"/>
                <w:sz w:val="20"/>
                <w:szCs w:val="20"/>
                <w:lang w:val="en-US"/>
              </w:rPr>
              <w:t>costs and are more flexible than ever.</w:t>
            </w:r>
            <w:r w:rsidRPr="00E630EF">
              <w:rPr>
                <w:rFonts w:ascii="Arial" w:hAnsi="Arial" w:cs="Arial"/>
                <w:sz w:val="20"/>
                <w:szCs w:val="20"/>
                <w:lang w:val="en-US"/>
              </w:rPr>
              <w:t xml:space="preserve"> </w:t>
            </w:r>
          </w:p>
        </w:tc>
        <w:tc>
          <w:tcPr>
            <w:tcW w:w="4731" w:type="dxa"/>
          </w:tcPr>
          <w:p w:rsidR="00747DBA" w:rsidRPr="00E630EF" w:rsidRDefault="00747DBA" w:rsidP="00E630EF">
            <w:pPr>
              <w:spacing w:after="120"/>
              <w:rPr>
                <w:rFonts w:ascii="Arial" w:hAnsi="Arial" w:cs="Arial"/>
                <w:sz w:val="20"/>
                <w:szCs w:val="20"/>
                <w:lang w:val="en-US"/>
              </w:rPr>
            </w:pPr>
          </w:p>
        </w:tc>
      </w:tr>
      <w:tr w:rsidR="00747DBA" w:rsidRPr="00E630EF" w:rsidTr="00B23FBE">
        <w:tc>
          <w:tcPr>
            <w:tcW w:w="4798" w:type="dxa"/>
            <w:gridSpan w:val="2"/>
          </w:tcPr>
          <w:p w:rsidR="00747DBA" w:rsidRPr="00E630EF" w:rsidRDefault="006553A4" w:rsidP="00E630EF">
            <w:pPr>
              <w:spacing w:after="120"/>
              <w:rPr>
                <w:rFonts w:ascii="Arial" w:hAnsi="Arial" w:cs="Arial"/>
                <w:sz w:val="20"/>
                <w:szCs w:val="20"/>
                <w:lang w:val="en-US"/>
              </w:rPr>
            </w:pPr>
            <w:r w:rsidRPr="00E630EF">
              <w:rPr>
                <w:rFonts w:ascii="Arial" w:hAnsi="Arial" w:cs="Arial"/>
                <w:sz w:val="20"/>
                <w:szCs w:val="20"/>
                <w:lang w:val="en-US"/>
              </w:rPr>
              <w:t xml:space="preserve">For companies working with manual and semi-automated assembly processes, continuous improvement is a daily topic. Error-proofing, </w:t>
            </w:r>
            <w:proofErr w:type="spellStart"/>
            <w:r w:rsidRPr="00E630EF">
              <w:rPr>
                <w:rFonts w:ascii="Arial" w:hAnsi="Arial" w:cs="Arial"/>
                <w:sz w:val="20"/>
                <w:szCs w:val="20"/>
                <w:lang w:val="en-US"/>
              </w:rPr>
              <w:t>kaizan</w:t>
            </w:r>
            <w:proofErr w:type="spellEnd"/>
            <w:r w:rsidRPr="00E630EF">
              <w:rPr>
                <w:rFonts w:ascii="Arial" w:hAnsi="Arial" w:cs="Arial"/>
                <w:sz w:val="20"/>
                <w:szCs w:val="20"/>
                <w:lang w:val="en-US"/>
              </w:rPr>
              <w:t>, poke-yoke, six-sigma, quality management, or quality assurance are a way of life when humans are involved in part of the assembly process. “Quality is our Culture” or “Continuous Improvement Conscious” are regularly seen in factories as not-so-subtle reminders to all of us that while perfection is impossible, the pursuit of perfection in our product is something we should live daily.</w:t>
            </w:r>
          </w:p>
        </w:tc>
        <w:tc>
          <w:tcPr>
            <w:tcW w:w="4731" w:type="dxa"/>
          </w:tcPr>
          <w:p w:rsidR="00747DBA" w:rsidRPr="00E630EF" w:rsidRDefault="00747DBA" w:rsidP="00E630EF">
            <w:pPr>
              <w:spacing w:after="120"/>
              <w:rPr>
                <w:rFonts w:ascii="Arial" w:hAnsi="Arial" w:cs="Arial"/>
                <w:sz w:val="20"/>
                <w:szCs w:val="20"/>
              </w:rPr>
            </w:pPr>
          </w:p>
        </w:tc>
      </w:tr>
      <w:tr w:rsidR="006553A4" w:rsidRPr="00E630EF" w:rsidTr="00B23FBE">
        <w:tc>
          <w:tcPr>
            <w:tcW w:w="4798" w:type="dxa"/>
            <w:gridSpan w:val="2"/>
          </w:tcPr>
          <w:p w:rsidR="006553A4" w:rsidRPr="00E630EF" w:rsidRDefault="006553A4" w:rsidP="00E630EF">
            <w:pPr>
              <w:spacing w:after="120"/>
              <w:rPr>
                <w:rFonts w:ascii="Arial" w:hAnsi="Arial" w:cs="Arial"/>
                <w:sz w:val="20"/>
                <w:szCs w:val="20"/>
                <w:lang w:val="en-US"/>
              </w:rPr>
            </w:pPr>
            <w:r w:rsidRPr="00E630EF">
              <w:rPr>
                <w:rFonts w:ascii="Arial" w:hAnsi="Arial" w:cs="Arial"/>
                <w:sz w:val="20"/>
                <w:szCs w:val="20"/>
                <w:lang w:val="en-US"/>
              </w:rPr>
              <w:t>Inductive couplers are a windfall for robotics because they simultaneously send both data and power over an air gap. The benefits to you are numerous. The risk of cable breakage is virtually eliminated. The contacting of mechanical connectors is eliminated, and the robot has a continuous radius of movement of 360 degrees.</w:t>
            </w:r>
          </w:p>
        </w:tc>
        <w:tc>
          <w:tcPr>
            <w:tcW w:w="4731" w:type="dxa"/>
          </w:tcPr>
          <w:p w:rsidR="006553A4" w:rsidRPr="00E630EF" w:rsidRDefault="006553A4" w:rsidP="00E630EF">
            <w:pPr>
              <w:spacing w:after="120"/>
              <w:rPr>
                <w:rFonts w:ascii="Arial" w:hAnsi="Arial" w:cs="Arial"/>
                <w:sz w:val="20"/>
                <w:szCs w:val="20"/>
              </w:rPr>
            </w:pPr>
          </w:p>
        </w:tc>
      </w:tr>
      <w:tr w:rsidR="006553A4" w:rsidRPr="00E630EF" w:rsidTr="00B23FBE">
        <w:tc>
          <w:tcPr>
            <w:tcW w:w="4798" w:type="dxa"/>
            <w:gridSpan w:val="2"/>
          </w:tcPr>
          <w:p w:rsidR="006553A4" w:rsidRPr="00E630EF" w:rsidRDefault="006553A4" w:rsidP="00E630EF">
            <w:pPr>
              <w:spacing w:after="120"/>
              <w:rPr>
                <w:rFonts w:ascii="Arial" w:hAnsi="Arial" w:cs="Arial"/>
                <w:sz w:val="20"/>
                <w:szCs w:val="20"/>
                <w:lang w:val="en-US"/>
              </w:rPr>
            </w:pPr>
            <w:proofErr w:type="spellStart"/>
            <w:r w:rsidRPr="00E630EF">
              <w:rPr>
                <w:rFonts w:ascii="Arial" w:hAnsi="Arial" w:cs="Arial"/>
                <w:sz w:val="20"/>
                <w:szCs w:val="20"/>
                <w:lang w:val="en-US"/>
              </w:rPr>
              <w:t>BIS</w:t>
            </w:r>
            <w:proofErr w:type="spellEnd"/>
            <w:r w:rsidRPr="00E630EF">
              <w:rPr>
                <w:rFonts w:ascii="Arial" w:hAnsi="Arial" w:cs="Arial"/>
                <w:sz w:val="20"/>
                <w:szCs w:val="20"/>
                <w:lang w:val="en-US"/>
              </w:rPr>
              <w:t xml:space="preserve"> C RFID systems in LF or </w:t>
            </w:r>
            <w:proofErr w:type="spellStart"/>
            <w:r w:rsidRPr="00E630EF">
              <w:rPr>
                <w:rFonts w:ascii="Arial" w:hAnsi="Arial" w:cs="Arial"/>
                <w:sz w:val="20"/>
                <w:szCs w:val="20"/>
                <w:lang w:val="en-US"/>
              </w:rPr>
              <w:t>BIS</w:t>
            </w:r>
            <w:proofErr w:type="spellEnd"/>
            <w:r w:rsidRPr="00E630EF">
              <w:rPr>
                <w:rFonts w:ascii="Arial" w:hAnsi="Arial" w:cs="Arial"/>
                <w:sz w:val="20"/>
                <w:szCs w:val="20"/>
                <w:lang w:val="en-US"/>
              </w:rPr>
              <w:t xml:space="preserve"> M in </w:t>
            </w:r>
            <w:proofErr w:type="spellStart"/>
            <w:r w:rsidRPr="00E630EF">
              <w:rPr>
                <w:rFonts w:ascii="Arial" w:hAnsi="Arial" w:cs="Arial"/>
                <w:sz w:val="20"/>
                <w:szCs w:val="20"/>
                <w:lang w:val="en-US"/>
              </w:rPr>
              <w:t>HF</w:t>
            </w:r>
            <w:proofErr w:type="spellEnd"/>
            <w:r w:rsidRPr="00E630EF">
              <w:rPr>
                <w:rFonts w:ascii="Arial" w:hAnsi="Arial" w:cs="Arial"/>
                <w:sz w:val="20"/>
                <w:szCs w:val="20"/>
                <w:lang w:val="en-US"/>
              </w:rPr>
              <w:t xml:space="preserve"> always provide the </w:t>
            </w:r>
            <w:proofErr w:type="spellStart"/>
            <w:r w:rsidRPr="00E630EF">
              <w:rPr>
                <w:rFonts w:ascii="Arial" w:hAnsi="Arial" w:cs="Arial"/>
                <w:sz w:val="20"/>
                <w:szCs w:val="20"/>
                <w:lang w:val="en-US"/>
              </w:rPr>
              <w:t>CNC</w:t>
            </w:r>
            <w:proofErr w:type="spellEnd"/>
            <w:r w:rsidRPr="00E630EF">
              <w:rPr>
                <w:rFonts w:ascii="Arial" w:hAnsi="Arial" w:cs="Arial"/>
                <w:sz w:val="20"/>
                <w:szCs w:val="20"/>
                <w:lang w:val="en-US"/>
              </w:rPr>
              <w:t xml:space="preserve"> controller in milling machines and machining centers with the correct tool data. Instead of error-prone, manually kept tool logs, the data is continually recorded when loading and unloading the tool so that continued use of the tool can be controlled. The actual tool dimensions are stored, for example, so that they can be automatically read into the tool table for the </w:t>
            </w:r>
            <w:proofErr w:type="spellStart"/>
            <w:r w:rsidRPr="00E630EF">
              <w:rPr>
                <w:rFonts w:ascii="Arial" w:hAnsi="Arial" w:cs="Arial"/>
                <w:sz w:val="20"/>
                <w:szCs w:val="20"/>
                <w:lang w:val="en-US"/>
              </w:rPr>
              <w:t>CNC</w:t>
            </w:r>
            <w:proofErr w:type="spellEnd"/>
            <w:r w:rsidRPr="00E630EF">
              <w:rPr>
                <w:rFonts w:ascii="Arial" w:hAnsi="Arial" w:cs="Arial"/>
                <w:sz w:val="20"/>
                <w:szCs w:val="20"/>
                <w:lang w:val="en-US"/>
              </w:rPr>
              <w:t xml:space="preserve"> controller.</w:t>
            </w:r>
          </w:p>
        </w:tc>
        <w:tc>
          <w:tcPr>
            <w:tcW w:w="4731" w:type="dxa"/>
          </w:tcPr>
          <w:p w:rsidR="006553A4" w:rsidRPr="00E630EF" w:rsidRDefault="006553A4" w:rsidP="00E630EF">
            <w:pPr>
              <w:spacing w:after="120"/>
              <w:rPr>
                <w:rFonts w:ascii="Arial" w:hAnsi="Arial" w:cs="Arial"/>
                <w:sz w:val="20"/>
                <w:szCs w:val="20"/>
              </w:rPr>
            </w:pPr>
          </w:p>
        </w:tc>
      </w:tr>
    </w:tbl>
    <w:p w:rsidR="00747DBA" w:rsidRPr="006553A4" w:rsidRDefault="00747DBA" w:rsidP="00747DBA">
      <w:pPr>
        <w:spacing w:after="120"/>
        <w:rPr>
          <w:rFonts w:ascii="Arial" w:hAnsi="Arial" w:cs="Arial"/>
          <w:sz w:val="20"/>
          <w:szCs w:val="20"/>
        </w:rPr>
      </w:pPr>
    </w:p>
    <w:sectPr w:rsidR="00747DBA" w:rsidRPr="006553A4" w:rsidSect="00CD21F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FB"/>
    <w:rsid w:val="000513AD"/>
    <w:rsid w:val="00181D06"/>
    <w:rsid w:val="001C785E"/>
    <w:rsid w:val="001D747F"/>
    <w:rsid w:val="001E63B2"/>
    <w:rsid w:val="002A037A"/>
    <w:rsid w:val="002C62AF"/>
    <w:rsid w:val="003029FB"/>
    <w:rsid w:val="0031135D"/>
    <w:rsid w:val="003859D1"/>
    <w:rsid w:val="00461660"/>
    <w:rsid w:val="004E6E40"/>
    <w:rsid w:val="0053510A"/>
    <w:rsid w:val="0057008C"/>
    <w:rsid w:val="00620D9C"/>
    <w:rsid w:val="00652182"/>
    <w:rsid w:val="006553A4"/>
    <w:rsid w:val="006B7F7A"/>
    <w:rsid w:val="006E6B3F"/>
    <w:rsid w:val="00732AE4"/>
    <w:rsid w:val="00747DBA"/>
    <w:rsid w:val="007C34ED"/>
    <w:rsid w:val="007D5DD8"/>
    <w:rsid w:val="008F0AEA"/>
    <w:rsid w:val="00923AF8"/>
    <w:rsid w:val="0099370B"/>
    <w:rsid w:val="009A3E2C"/>
    <w:rsid w:val="009F5B26"/>
    <w:rsid w:val="00A664FC"/>
    <w:rsid w:val="00AE175C"/>
    <w:rsid w:val="00B23FBE"/>
    <w:rsid w:val="00B5100A"/>
    <w:rsid w:val="00B56C77"/>
    <w:rsid w:val="00BA68B5"/>
    <w:rsid w:val="00C318C2"/>
    <w:rsid w:val="00C61FBB"/>
    <w:rsid w:val="00C64B3C"/>
    <w:rsid w:val="00CD21F3"/>
    <w:rsid w:val="00CF1A48"/>
    <w:rsid w:val="00DA15C2"/>
    <w:rsid w:val="00E205CA"/>
    <w:rsid w:val="00E630EF"/>
    <w:rsid w:val="00E84176"/>
    <w:rsid w:val="00F9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3B2"/>
    <w:rPr>
      <w:rFonts w:ascii="Tahoma" w:hAnsi="Tahoma" w:cs="Tahoma"/>
      <w:sz w:val="16"/>
      <w:szCs w:val="16"/>
    </w:rPr>
  </w:style>
  <w:style w:type="character" w:customStyle="1" w:styleId="a4">
    <w:name w:val="Текст выноски Знак"/>
    <w:basedOn w:val="a0"/>
    <w:link w:val="a3"/>
    <w:uiPriority w:val="99"/>
    <w:semiHidden/>
    <w:rsid w:val="001E63B2"/>
    <w:rPr>
      <w:rFonts w:ascii="Tahoma" w:hAnsi="Tahoma" w:cs="Tahoma"/>
      <w:sz w:val="16"/>
      <w:szCs w:val="16"/>
    </w:rPr>
  </w:style>
  <w:style w:type="character" w:styleId="a5">
    <w:name w:val="Hyperlink"/>
    <w:basedOn w:val="a0"/>
    <w:uiPriority w:val="99"/>
    <w:unhideWhenUsed/>
    <w:rsid w:val="001D747F"/>
    <w:rPr>
      <w:color w:val="0000FF" w:themeColor="hyperlink"/>
      <w:u w:val="single"/>
    </w:rPr>
  </w:style>
  <w:style w:type="table" w:styleId="a6">
    <w:name w:val="Table Grid"/>
    <w:basedOn w:val="a1"/>
    <w:uiPriority w:val="59"/>
    <w:rsid w:val="006E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3B2"/>
    <w:rPr>
      <w:rFonts w:ascii="Tahoma" w:hAnsi="Tahoma" w:cs="Tahoma"/>
      <w:sz w:val="16"/>
      <w:szCs w:val="16"/>
    </w:rPr>
  </w:style>
  <w:style w:type="character" w:customStyle="1" w:styleId="a4">
    <w:name w:val="Текст выноски Знак"/>
    <w:basedOn w:val="a0"/>
    <w:link w:val="a3"/>
    <w:uiPriority w:val="99"/>
    <w:semiHidden/>
    <w:rsid w:val="001E63B2"/>
    <w:rPr>
      <w:rFonts w:ascii="Tahoma" w:hAnsi="Tahoma" w:cs="Tahoma"/>
      <w:sz w:val="16"/>
      <w:szCs w:val="16"/>
    </w:rPr>
  </w:style>
  <w:style w:type="character" w:styleId="a5">
    <w:name w:val="Hyperlink"/>
    <w:basedOn w:val="a0"/>
    <w:uiPriority w:val="99"/>
    <w:unhideWhenUsed/>
    <w:rsid w:val="001D747F"/>
    <w:rPr>
      <w:color w:val="0000FF" w:themeColor="hyperlink"/>
      <w:u w:val="single"/>
    </w:rPr>
  </w:style>
  <w:style w:type="table" w:styleId="a6">
    <w:name w:val="Table Grid"/>
    <w:basedOn w:val="a1"/>
    <w:uiPriority w:val="59"/>
    <w:rsid w:val="006E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tsubishielectric.com/dl/fa/document/catalog/inv/l-06127eng/l06127engd.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745</Words>
  <Characters>4095</Characters>
  <Application>Microsoft Office Word</Application>
  <DocSecurity>0</DocSecurity>
  <Lines>61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7</cp:revision>
  <dcterms:created xsi:type="dcterms:W3CDTF">2021-04-15T09:08:00Z</dcterms:created>
  <dcterms:modified xsi:type="dcterms:W3CDTF">2021-04-15T09:36:00Z</dcterms:modified>
</cp:coreProperties>
</file>